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FDDBBB7" w:rsidR="00C972A7" w:rsidRDefault="00D54A50" w:rsidP="00C972A7">
      <w:pPr>
        <w:jc w:val="center"/>
        <w:rPr>
          <w:rFonts w:ascii="Arial" w:hAnsi="Arial" w:cs="Arial"/>
          <w:b/>
          <w:color w:val="000000"/>
          <w:sz w:val="36"/>
          <w:szCs w:val="36"/>
        </w:rPr>
      </w:pPr>
      <w:r>
        <w:rPr>
          <w:rFonts w:ascii="Arial" w:hAnsi="Arial" w:cs="Arial"/>
          <w:b/>
          <w:color w:val="000000"/>
          <w:sz w:val="36"/>
          <w:szCs w:val="36"/>
        </w:rPr>
        <w:t>ELEKTROENERGETSKI SISTEMI</w:t>
      </w:r>
    </w:p>
    <w:p w14:paraId="34F55819" w14:textId="1B9F520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D54A50">
        <w:rPr>
          <w:rFonts w:ascii="Arial" w:hAnsi="Arial" w:cs="Arial"/>
          <w:color w:val="000000"/>
          <w:sz w:val="28"/>
          <w:szCs w:val="28"/>
        </w:rPr>
        <w:t>6</w:t>
      </w:r>
      <w:r w:rsidR="005C7749">
        <w:rPr>
          <w:rFonts w:ascii="Arial" w:hAnsi="Arial" w:cs="Arial"/>
          <w:color w:val="000000"/>
          <w:sz w:val="28"/>
          <w:szCs w:val="28"/>
        </w:rPr>
        <w:t xml:space="preserve"> – </w:t>
      </w:r>
      <w:r w:rsidR="00393425">
        <w:rPr>
          <w:rFonts w:ascii="Arial" w:hAnsi="Arial" w:cs="Arial"/>
          <w:color w:val="000000"/>
          <w:sz w:val="28"/>
          <w:szCs w:val="28"/>
        </w:rPr>
        <w:t>izbirn</w:t>
      </w:r>
      <w:r w:rsidR="005C7749">
        <w:rPr>
          <w:rFonts w:ascii="Arial" w:hAnsi="Arial" w:cs="Arial"/>
          <w:color w:val="000000"/>
          <w:sz w:val="28"/>
          <w:szCs w:val="28"/>
        </w:rPr>
        <w:t>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519FB454" w:rsidR="00190FFE" w:rsidRDefault="00190FFE" w:rsidP="00190FFE">
      <w:pPr>
        <w:jc w:val="center"/>
        <w:rPr>
          <w:rFonts w:ascii="Arial" w:hAnsi="Arial" w:cs="Arial"/>
          <w:b/>
          <w:color w:val="000000"/>
          <w:sz w:val="28"/>
          <w:szCs w:val="28"/>
        </w:rPr>
      </w:pPr>
      <w:r>
        <w:rPr>
          <w:rFonts w:ascii="Arial" w:hAnsi="Arial" w:cs="Arial"/>
          <w:b/>
          <w:color w:val="000000"/>
          <w:sz w:val="28"/>
          <w:szCs w:val="28"/>
        </w:rPr>
        <w:t>Elektr</w:t>
      </w:r>
      <w:r w:rsidR="00D54A50">
        <w:rPr>
          <w:rFonts w:ascii="Arial" w:hAnsi="Arial" w:cs="Arial"/>
          <w:b/>
          <w:color w:val="000000"/>
          <w:sz w:val="28"/>
          <w:szCs w:val="28"/>
        </w:rPr>
        <w:t>ikar</w:t>
      </w:r>
      <w:r>
        <w:rPr>
          <w:rFonts w:ascii="Arial" w:hAnsi="Arial" w:cs="Arial"/>
          <w:b/>
          <w:color w:val="000000"/>
          <w:sz w:val="28"/>
          <w:szCs w:val="28"/>
        </w:rPr>
        <w:t xml:space="preserve"> </w:t>
      </w:r>
      <w:r w:rsidR="00954A3F">
        <w:rPr>
          <w:rFonts w:ascii="Arial" w:hAnsi="Arial" w:cs="Arial"/>
          <w:b/>
          <w:color w:val="000000"/>
          <w:sz w:val="28"/>
          <w:szCs w:val="28"/>
        </w:rPr>
        <w:t>–</w:t>
      </w:r>
      <w:r>
        <w:rPr>
          <w:rFonts w:ascii="Arial" w:hAnsi="Arial" w:cs="Arial"/>
          <w:b/>
          <w:color w:val="000000"/>
          <w:sz w:val="28"/>
          <w:szCs w:val="28"/>
        </w:rPr>
        <w:t xml:space="preserve"> </w:t>
      </w:r>
      <w:r w:rsidR="00D54A50">
        <w:rPr>
          <w:rFonts w:ascii="Arial" w:hAnsi="Arial" w:cs="Arial"/>
          <w:b/>
          <w:color w:val="000000"/>
          <w:sz w:val="28"/>
          <w:szCs w:val="28"/>
        </w:rPr>
        <w:t>S</w:t>
      </w:r>
      <w:r w:rsidR="005C7749">
        <w:rPr>
          <w:rFonts w:ascii="Arial" w:hAnsi="Arial" w:cs="Arial"/>
          <w:b/>
          <w:color w:val="000000"/>
          <w:sz w:val="28"/>
          <w:szCs w:val="28"/>
        </w:rPr>
        <w:t>P</w:t>
      </w:r>
      <w:r w:rsidR="00954A3F">
        <w:rPr>
          <w:rFonts w:ascii="Arial" w:hAnsi="Arial" w:cs="Arial"/>
          <w:b/>
          <w:color w:val="000000"/>
          <w:sz w:val="28"/>
          <w:szCs w:val="28"/>
        </w:rPr>
        <w:t xml:space="preserve">I, </w:t>
      </w:r>
      <w:r w:rsidR="00D54A50">
        <w:rPr>
          <w:rFonts w:ascii="Arial" w:hAnsi="Arial" w:cs="Arial"/>
          <w:b/>
          <w:color w:val="000000"/>
          <w:sz w:val="28"/>
          <w:szCs w:val="28"/>
        </w:rPr>
        <w:t>2</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2AF9BCF9" w:rsidR="00C972A7" w:rsidRDefault="00393425" w:rsidP="00C972A7">
      <w:pPr>
        <w:jc w:val="center"/>
        <w:rPr>
          <w:rFonts w:ascii="Arial" w:hAnsi="Arial" w:cs="Arial"/>
          <w:color w:val="000000"/>
        </w:rPr>
      </w:pPr>
      <w:r>
        <w:rPr>
          <w:rFonts w:ascii="Arial" w:hAnsi="Arial" w:cs="Arial"/>
          <w:color w:val="000000"/>
        </w:rPr>
        <w:t>J</w:t>
      </w:r>
      <w:r w:rsidR="000B36D1">
        <w:rPr>
          <w:rFonts w:ascii="Arial" w:hAnsi="Arial" w:cs="Arial"/>
          <w:color w:val="000000"/>
        </w:rPr>
        <w:t>ožef Ficko</w:t>
      </w:r>
      <w:r w:rsidR="00190FFE">
        <w:rPr>
          <w:rFonts w:ascii="Arial" w:hAnsi="Arial" w:cs="Arial"/>
          <w:color w:val="000000"/>
        </w:rPr>
        <w:t xml:space="preserve"> – teoretični pouk</w:t>
      </w:r>
    </w:p>
    <w:p w14:paraId="205A8A1B" w14:textId="37C8968F" w:rsidR="00190FFE" w:rsidRDefault="00393425" w:rsidP="00C972A7">
      <w:pPr>
        <w:jc w:val="center"/>
        <w:rPr>
          <w:rFonts w:ascii="Arial" w:hAnsi="Arial" w:cs="Arial"/>
          <w:color w:val="000000"/>
        </w:rPr>
      </w:pPr>
      <w:r>
        <w:rPr>
          <w:rFonts w:ascii="Arial" w:hAnsi="Arial" w:cs="Arial"/>
          <w:color w:val="000000"/>
        </w:rPr>
        <w:t>J</w:t>
      </w:r>
      <w:r w:rsidR="00D54A50">
        <w:rPr>
          <w:rFonts w:ascii="Arial" w:hAnsi="Arial" w:cs="Arial"/>
          <w:color w:val="000000"/>
        </w:rPr>
        <w:t>anez Kozar</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22136222" w14:textId="3020118C" w:rsidR="00415D1E"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0541" w:history="1">
        <w:r w:rsidR="00415D1E" w:rsidRPr="00F91551">
          <w:rPr>
            <w:rStyle w:val="Hiperpovezava"/>
            <w:noProof/>
          </w:rPr>
          <w:t>1</w:t>
        </w:r>
        <w:r w:rsidR="00415D1E">
          <w:rPr>
            <w:rFonts w:asciiTheme="minorHAnsi" w:eastAsiaTheme="minorEastAsia" w:hAnsiTheme="minorHAnsi" w:cstheme="minorBidi"/>
            <w:b w:val="0"/>
            <w:bCs w:val="0"/>
            <w:caps w:val="0"/>
            <w:noProof/>
            <w:kern w:val="2"/>
            <w:sz w:val="22"/>
            <w:szCs w:val="22"/>
            <w14:ligatures w14:val="standardContextual"/>
          </w:rPr>
          <w:tab/>
        </w:r>
        <w:r w:rsidR="00415D1E" w:rsidRPr="00F91551">
          <w:rPr>
            <w:rStyle w:val="Hiperpovezava"/>
            <w:noProof/>
          </w:rPr>
          <w:t>Priprava načrta ocenjevanja znanja</w:t>
        </w:r>
        <w:r w:rsidR="00415D1E">
          <w:rPr>
            <w:noProof/>
            <w:webHidden/>
          </w:rPr>
          <w:tab/>
        </w:r>
        <w:r w:rsidR="00415D1E">
          <w:rPr>
            <w:noProof/>
            <w:webHidden/>
          </w:rPr>
          <w:fldChar w:fldCharType="begin"/>
        </w:r>
        <w:r w:rsidR="00415D1E">
          <w:rPr>
            <w:noProof/>
            <w:webHidden/>
          </w:rPr>
          <w:instrText xml:space="preserve"> PAGEREF _Toc181730541 \h </w:instrText>
        </w:r>
        <w:r w:rsidR="00415D1E">
          <w:rPr>
            <w:noProof/>
            <w:webHidden/>
          </w:rPr>
        </w:r>
        <w:r w:rsidR="00415D1E">
          <w:rPr>
            <w:noProof/>
            <w:webHidden/>
          </w:rPr>
          <w:fldChar w:fldCharType="separate"/>
        </w:r>
        <w:r w:rsidR="00415D1E">
          <w:rPr>
            <w:noProof/>
            <w:webHidden/>
          </w:rPr>
          <w:t>3</w:t>
        </w:r>
        <w:r w:rsidR="00415D1E">
          <w:rPr>
            <w:noProof/>
            <w:webHidden/>
          </w:rPr>
          <w:fldChar w:fldCharType="end"/>
        </w:r>
      </w:hyperlink>
    </w:p>
    <w:p w14:paraId="5CA878A2" w14:textId="2FF753F8" w:rsidR="00415D1E" w:rsidRDefault="00415D1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542" w:history="1">
        <w:r w:rsidRPr="00F91551">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91551">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_Toc181730542 \h </w:instrText>
        </w:r>
        <w:r>
          <w:rPr>
            <w:noProof/>
            <w:webHidden/>
          </w:rPr>
        </w:r>
        <w:r>
          <w:rPr>
            <w:noProof/>
            <w:webHidden/>
          </w:rPr>
          <w:fldChar w:fldCharType="separate"/>
        </w:r>
        <w:r>
          <w:rPr>
            <w:noProof/>
            <w:webHidden/>
          </w:rPr>
          <w:t>3</w:t>
        </w:r>
        <w:r>
          <w:rPr>
            <w:noProof/>
            <w:webHidden/>
          </w:rPr>
          <w:fldChar w:fldCharType="end"/>
        </w:r>
      </w:hyperlink>
    </w:p>
    <w:p w14:paraId="4628C73A" w14:textId="1042654A" w:rsidR="00415D1E" w:rsidRDefault="00415D1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543" w:history="1">
        <w:r w:rsidRPr="00F91551">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91551">
          <w:rPr>
            <w:rStyle w:val="Hiperpovezava"/>
            <w:noProof/>
          </w:rPr>
          <w:t>Elementi načrta ocenjevanja znanja</w:t>
        </w:r>
        <w:r>
          <w:rPr>
            <w:noProof/>
            <w:webHidden/>
          </w:rPr>
          <w:tab/>
        </w:r>
        <w:r>
          <w:rPr>
            <w:noProof/>
            <w:webHidden/>
          </w:rPr>
          <w:fldChar w:fldCharType="begin"/>
        </w:r>
        <w:r>
          <w:rPr>
            <w:noProof/>
            <w:webHidden/>
          </w:rPr>
          <w:instrText xml:space="preserve"> PAGEREF _Toc181730543 \h </w:instrText>
        </w:r>
        <w:r>
          <w:rPr>
            <w:noProof/>
            <w:webHidden/>
          </w:rPr>
        </w:r>
        <w:r>
          <w:rPr>
            <w:noProof/>
            <w:webHidden/>
          </w:rPr>
          <w:fldChar w:fldCharType="separate"/>
        </w:r>
        <w:r>
          <w:rPr>
            <w:noProof/>
            <w:webHidden/>
          </w:rPr>
          <w:t>3</w:t>
        </w:r>
        <w:r>
          <w:rPr>
            <w:noProof/>
            <w:webHidden/>
          </w:rPr>
          <w:fldChar w:fldCharType="end"/>
        </w:r>
      </w:hyperlink>
    </w:p>
    <w:p w14:paraId="256FD6E3" w14:textId="1B1835E3"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4" w:history="1">
        <w:r w:rsidRPr="00F91551">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Ocenjevanje programskih enot</w:t>
        </w:r>
        <w:r>
          <w:rPr>
            <w:noProof/>
            <w:webHidden/>
          </w:rPr>
          <w:tab/>
        </w:r>
        <w:r>
          <w:rPr>
            <w:noProof/>
            <w:webHidden/>
          </w:rPr>
          <w:fldChar w:fldCharType="begin"/>
        </w:r>
        <w:r>
          <w:rPr>
            <w:noProof/>
            <w:webHidden/>
          </w:rPr>
          <w:instrText xml:space="preserve"> PAGEREF _Toc181730544 \h </w:instrText>
        </w:r>
        <w:r>
          <w:rPr>
            <w:noProof/>
            <w:webHidden/>
          </w:rPr>
        </w:r>
        <w:r>
          <w:rPr>
            <w:noProof/>
            <w:webHidden/>
          </w:rPr>
          <w:fldChar w:fldCharType="separate"/>
        </w:r>
        <w:r>
          <w:rPr>
            <w:noProof/>
            <w:webHidden/>
          </w:rPr>
          <w:t>3</w:t>
        </w:r>
        <w:r>
          <w:rPr>
            <w:noProof/>
            <w:webHidden/>
          </w:rPr>
          <w:fldChar w:fldCharType="end"/>
        </w:r>
      </w:hyperlink>
    </w:p>
    <w:p w14:paraId="4E937BA2" w14:textId="30BCCAF7"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5" w:history="1">
        <w:r w:rsidRPr="00F91551">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_Toc181730545 \h </w:instrText>
        </w:r>
        <w:r>
          <w:rPr>
            <w:noProof/>
            <w:webHidden/>
          </w:rPr>
        </w:r>
        <w:r>
          <w:rPr>
            <w:noProof/>
            <w:webHidden/>
          </w:rPr>
          <w:fldChar w:fldCharType="separate"/>
        </w:r>
        <w:r>
          <w:rPr>
            <w:noProof/>
            <w:webHidden/>
          </w:rPr>
          <w:t>3</w:t>
        </w:r>
        <w:r>
          <w:rPr>
            <w:noProof/>
            <w:webHidden/>
          </w:rPr>
          <w:fldChar w:fldCharType="end"/>
        </w:r>
      </w:hyperlink>
    </w:p>
    <w:p w14:paraId="0AFAE666" w14:textId="7E64DEC1"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6" w:history="1">
        <w:r w:rsidRPr="00F91551">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Minimalni standardi znanja</w:t>
        </w:r>
        <w:r>
          <w:rPr>
            <w:noProof/>
            <w:webHidden/>
          </w:rPr>
          <w:tab/>
        </w:r>
        <w:r>
          <w:rPr>
            <w:noProof/>
            <w:webHidden/>
          </w:rPr>
          <w:fldChar w:fldCharType="begin"/>
        </w:r>
        <w:r>
          <w:rPr>
            <w:noProof/>
            <w:webHidden/>
          </w:rPr>
          <w:instrText xml:space="preserve"> PAGEREF _Toc181730546 \h </w:instrText>
        </w:r>
        <w:r>
          <w:rPr>
            <w:noProof/>
            <w:webHidden/>
          </w:rPr>
        </w:r>
        <w:r>
          <w:rPr>
            <w:noProof/>
            <w:webHidden/>
          </w:rPr>
          <w:fldChar w:fldCharType="separate"/>
        </w:r>
        <w:r>
          <w:rPr>
            <w:noProof/>
            <w:webHidden/>
          </w:rPr>
          <w:t>4</w:t>
        </w:r>
        <w:r>
          <w:rPr>
            <w:noProof/>
            <w:webHidden/>
          </w:rPr>
          <w:fldChar w:fldCharType="end"/>
        </w:r>
      </w:hyperlink>
    </w:p>
    <w:p w14:paraId="566583C9" w14:textId="736D35BE"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7" w:history="1">
        <w:r w:rsidRPr="00F91551">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_Toc181730547 \h </w:instrText>
        </w:r>
        <w:r>
          <w:rPr>
            <w:noProof/>
            <w:webHidden/>
          </w:rPr>
        </w:r>
        <w:r>
          <w:rPr>
            <w:noProof/>
            <w:webHidden/>
          </w:rPr>
          <w:fldChar w:fldCharType="separate"/>
        </w:r>
        <w:r>
          <w:rPr>
            <w:noProof/>
            <w:webHidden/>
          </w:rPr>
          <w:t>6</w:t>
        </w:r>
        <w:r>
          <w:rPr>
            <w:noProof/>
            <w:webHidden/>
          </w:rPr>
          <w:fldChar w:fldCharType="end"/>
        </w:r>
      </w:hyperlink>
    </w:p>
    <w:p w14:paraId="0F7DA0B9" w14:textId="6C5B5BF4"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8" w:history="1">
        <w:r w:rsidRPr="00F91551">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Časovni razpored ocenjevanja znanja</w:t>
        </w:r>
        <w:r>
          <w:rPr>
            <w:noProof/>
            <w:webHidden/>
          </w:rPr>
          <w:tab/>
        </w:r>
        <w:r>
          <w:rPr>
            <w:noProof/>
            <w:webHidden/>
          </w:rPr>
          <w:fldChar w:fldCharType="begin"/>
        </w:r>
        <w:r>
          <w:rPr>
            <w:noProof/>
            <w:webHidden/>
          </w:rPr>
          <w:instrText xml:space="preserve"> PAGEREF _Toc181730548 \h </w:instrText>
        </w:r>
        <w:r>
          <w:rPr>
            <w:noProof/>
            <w:webHidden/>
          </w:rPr>
        </w:r>
        <w:r>
          <w:rPr>
            <w:noProof/>
            <w:webHidden/>
          </w:rPr>
          <w:fldChar w:fldCharType="separate"/>
        </w:r>
        <w:r>
          <w:rPr>
            <w:noProof/>
            <w:webHidden/>
          </w:rPr>
          <w:t>8</w:t>
        </w:r>
        <w:r>
          <w:rPr>
            <w:noProof/>
            <w:webHidden/>
          </w:rPr>
          <w:fldChar w:fldCharType="end"/>
        </w:r>
      </w:hyperlink>
    </w:p>
    <w:p w14:paraId="618B7F7E" w14:textId="40B4F113"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49" w:history="1">
        <w:r w:rsidRPr="00F91551">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Število pridobljenih ocen</w:t>
        </w:r>
        <w:r>
          <w:rPr>
            <w:noProof/>
            <w:webHidden/>
          </w:rPr>
          <w:tab/>
        </w:r>
        <w:r>
          <w:rPr>
            <w:noProof/>
            <w:webHidden/>
          </w:rPr>
          <w:fldChar w:fldCharType="begin"/>
        </w:r>
        <w:r>
          <w:rPr>
            <w:noProof/>
            <w:webHidden/>
          </w:rPr>
          <w:instrText xml:space="preserve"> PAGEREF _Toc181730549 \h </w:instrText>
        </w:r>
        <w:r>
          <w:rPr>
            <w:noProof/>
            <w:webHidden/>
          </w:rPr>
        </w:r>
        <w:r>
          <w:rPr>
            <w:noProof/>
            <w:webHidden/>
          </w:rPr>
          <w:fldChar w:fldCharType="separate"/>
        </w:r>
        <w:r>
          <w:rPr>
            <w:noProof/>
            <w:webHidden/>
          </w:rPr>
          <w:t>8</w:t>
        </w:r>
        <w:r>
          <w:rPr>
            <w:noProof/>
            <w:webHidden/>
          </w:rPr>
          <w:fldChar w:fldCharType="end"/>
        </w:r>
      </w:hyperlink>
    </w:p>
    <w:p w14:paraId="3FA6FE02" w14:textId="3821DCC4"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50" w:history="1">
        <w:r w:rsidRPr="00F91551">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Zaključevanje ocen</w:t>
        </w:r>
        <w:r>
          <w:rPr>
            <w:noProof/>
            <w:webHidden/>
          </w:rPr>
          <w:tab/>
        </w:r>
        <w:r>
          <w:rPr>
            <w:noProof/>
            <w:webHidden/>
          </w:rPr>
          <w:fldChar w:fldCharType="begin"/>
        </w:r>
        <w:r>
          <w:rPr>
            <w:noProof/>
            <w:webHidden/>
          </w:rPr>
          <w:instrText xml:space="preserve"> PAGEREF _Toc181730550 \h </w:instrText>
        </w:r>
        <w:r>
          <w:rPr>
            <w:noProof/>
            <w:webHidden/>
          </w:rPr>
        </w:r>
        <w:r>
          <w:rPr>
            <w:noProof/>
            <w:webHidden/>
          </w:rPr>
          <w:fldChar w:fldCharType="separate"/>
        </w:r>
        <w:r>
          <w:rPr>
            <w:noProof/>
            <w:webHidden/>
          </w:rPr>
          <w:t>8</w:t>
        </w:r>
        <w:r>
          <w:rPr>
            <w:noProof/>
            <w:webHidden/>
          </w:rPr>
          <w:fldChar w:fldCharType="end"/>
        </w:r>
      </w:hyperlink>
    </w:p>
    <w:p w14:paraId="046B6886" w14:textId="555792F3" w:rsidR="00415D1E" w:rsidRDefault="00415D1E">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0551" w:history="1">
        <w:r w:rsidRPr="00F91551">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91551">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_Toc181730551 \h </w:instrText>
        </w:r>
        <w:r>
          <w:rPr>
            <w:noProof/>
            <w:webHidden/>
          </w:rPr>
        </w:r>
        <w:r>
          <w:rPr>
            <w:noProof/>
            <w:webHidden/>
          </w:rPr>
          <w:fldChar w:fldCharType="separate"/>
        </w:r>
        <w:r>
          <w:rPr>
            <w:noProof/>
            <w:webHidden/>
          </w:rPr>
          <w:t>8</w:t>
        </w:r>
        <w:r>
          <w:rPr>
            <w:noProof/>
            <w:webHidden/>
          </w:rPr>
          <w:fldChar w:fldCharType="end"/>
        </w:r>
      </w:hyperlink>
    </w:p>
    <w:p w14:paraId="27958F55" w14:textId="461D6C77" w:rsidR="00415D1E" w:rsidRDefault="00415D1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552" w:history="1">
        <w:r w:rsidRPr="00F91551">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91551">
          <w:rPr>
            <w:rStyle w:val="Hiperpovezava"/>
            <w:noProof/>
          </w:rPr>
          <w:t>Kršitve pri ocenjevanju znanja in izpitih</w:t>
        </w:r>
        <w:r>
          <w:rPr>
            <w:noProof/>
            <w:webHidden/>
          </w:rPr>
          <w:tab/>
        </w:r>
        <w:r>
          <w:rPr>
            <w:noProof/>
            <w:webHidden/>
          </w:rPr>
          <w:fldChar w:fldCharType="begin"/>
        </w:r>
        <w:r>
          <w:rPr>
            <w:noProof/>
            <w:webHidden/>
          </w:rPr>
          <w:instrText xml:space="preserve"> PAGEREF _Toc181730552 \h </w:instrText>
        </w:r>
        <w:r>
          <w:rPr>
            <w:noProof/>
            <w:webHidden/>
          </w:rPr>
        </w:r>
        <w:r>
          <w:rPr>
            <w:noProof/>
            <w:webHidden/>
          </w:rPr>
          <w:fldChar w:fldCharType="separate"/>
        </w:r>
        <w:r>
          <w:rPr>
            <w:noProof/>
            <w:webHidden/>
          </w:rPr>
          <w:t>9</w:t>
        </w:r>
        <w:r>
          <w:rPr>
            <w:noProof/>
            <w:webHidden/>
          </w:rPr>
          <w:fldChar w:fldCharType="end"/>
        </w:r>
      </w:hyperlink>
    </w:p>
    <w:p w14:paraId="2FA881A1" w14:textId="42E17732" w:rsidR="00415D1E" w:rsidRDefault="00415D1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553" w:history="1">
        <w:r w:rsidRPr="00F91551">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91551">
          <w:rPr>
            <w:rStyle w:val="Hiperpovezava"/>
            <w:noProof/>
          </w:rPr>
          <w:t>Obveščanje</w:t>
        </w:r>
        <w:r>
          <w:rPr>
            <w:noProof/>
            <w:webHidden/>
          </w:rPr>
          <w:tab/>
        </w:r>
        <w:r>
          <w:rPr>
            <w:noProof/>
            <w:webHidden/>
          </w:rPr>
          <w:fldChar w:fldCharType="begin"/>
        </w:r>
        <w:r>
          <w:rPr>
            <w:noProof/>
            <w:webHidden/>
          </w:rPr>
          <w:instrText xml:space="preserve"> PAGEREF _Toc181730553 \h </w:instrText>
        </w:r>
        <w:r>
          <w:rPr>
            <w:noProof/>
            <w:webHidden/>
          </w:rPr>
        </w:r>
        <w:r>
          <w:rPr>
            <w:noProof/>
            <w:webHidden/>
          </w:rPr>
          <w:fldChar w:fldCharType="separate"/>
        </w:r>
        <w:r>
          <w:rPr>
            <w:noProof/>
            <w:webHidden/>
          </w:rPr>
          <w:t>9</w:t>
        </w:r>
        <w:r>
          <w:rPr>
            <w:noProof/>
            <w:webHidden/>
          </w:rPr>
          <w:fldChar w:fldCharType="end"/>
        </w:r>
      </w:hyperlink>
    </w:p>
    <w:p w14:paraId="6E81B77B" w14:textId="42A793FA" w:rsidR="00415D1E" w:rsidRDefault="00415D1E">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0554" w:history="1">
        <w:r w:rsidRPr="00F91551">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91551">
          <w:rPr>
            <w:rStyle w:val="Hiperpovezava"/>
            <w:noProof/>
          </w:rPr>
          <w:t>Spremljanje načrta ocenjevanja znanja</w:t>
        </w:r>
        <w:r>
          <w:rPr>
            <w:noProof/>
            <w:webHidden/>
          </w:rPr>
          <w:tab/>
        </w:r>
        <w:r>
          <w:rPr>
            <w:noProof/>
            <w:webHidden/>
          </w:rPr>
          <w:fldChar w:fldCharType="begin"/>
        </w:r>
        <w:r>
          <w:rPr>
            <w:noProof/>
            <w:webHidden/>
          </w:rPr>
          <w:instrText xml:space="preserve"> PAGEREF _Toc181730554 \h </w:instrText>
        </w:r>
        <w:r>
          <w:rPr>
            <w:noProof/>
            <w:webHidden/>
          </w:rPr>
        </w:r>
        <w:r>
          <w:rPr>
            <w:noProof/>
            <w:webHidden/>
          </w:rPr>
          <w:fldChar w:fldCharType="separate"/>
        </w:r>
        <w:r>
          <w:rPr>
            <w:noProof/>
            <w:webHidden/>
          </w:rPr>
          <w:t>9</w:t>
        </w:r>
        <w:r>
          <w:rPr>
            <w:noProof/>
            <w:webHidden/>
          </w:rPr>
          <w:fldChar w:fldCharType="end"/>
        </w:r>
      </w:hyperlink>
    </w:p>
    <w:p w14:paraId="511C3E5C" w14:textId="0168DA28"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0541"/>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E7CCDE8"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D54A50">
        <w:rPr>
          <w:rFonts w:ascii="Arial" w:hAnsi="Arial" w:cs="Arial"/>
          <w:sz w:val="20"/>
          <w:szCs w:val="20"/>
        </w:rPr>
        <w:t>Elektroenergetski sistemi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0542"/>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0543"/>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0544"/>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0545"/>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3F913D15" w:rsidR="00C972A7" w:rsidRDefault="00D54A50" w:rsidP="00DF574D">
            <w:pPr>
              <w:rPr>
                <w:rFonts w:ascii="Arial" w:hAnsi="Arial" w:cs="Arial"/>
                <w:color w:val="000000"/>
                <w:sz w:val="20"/>
                <w:szCs w:val="20"/>
              </w:rPr>
            </w:pPr>
            <w:r>
              <w:rPr>
                <w:rFonts w:ascii="Arial" w:hAnsi="Arial" w:cs="Arial"/>
                <w:color w:val="000000"/>
                <w:sz w:val="20"/>
                <w:szCs w:val="20"/>
              </w:rPr>
              <w:t>Elektroenergetski sistemi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4972E034" w:rsidR="00C972A7" w:rsidRDefault="00D54A50" w:rsidP="00DF574D">
            <w:pPr>
              <w:rPr>
                <w:rFonts w:ascii="Arial" w:hAnsi="Arial" w:cs="Arial"/>
                <w:color w:val="000000"/>
                <w:sz w:val="20"/>
                <w:szCs w:val="20"/>
              </w:rPr>
            </w:pPr>
            <w:r>
              <w:rPr>
                <w:rFonts w:ascii="Arial" w:hAnsi="Arial" w:cs="Arial"/>
                <w:color w:val="000000"/>
                <w:sz w:val="20"/>
                <w:szCs w:val="20"/>
              </w:rPr>
              <w:t>Elektroenergetski sistemi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0546"/>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11D5E198" w:rsidR="00761B88" w:rsidRDefault="00761B88">
      <w:pPr>
        <w:numPr>
          <w:ilvl w:val="0"/>
          <w:numId w:val="6"/>
        </w:numPr>
        <w:rPr>
          <w:rFonts w:ascii="Arial" w:hAnsi="Arial" w:cs="Arial"/>
          <w:color w:val="000000"/>
          <w:sz w:val="20"/>
          <w:szCs w:val="20"/>
        </w:rPr>
      </w:pPr>
      <w:r>
        <w:rPr>
          <w:rFonts w:ascii="Arial" w:hAnsi="Arial" w:cs="Arial"/>
          <w:color w:val="000000"/>
          <w:sz w:val="20"/>
          <w:szCs w:val="20"/>
        </w:rPr>
        <w:t>Minimalni standard znanja</w:t>
      </w:r>
      <w:r w:rsidR="00502060">
        <w:rPr>
          <w:rFonts w:ascii="Arial" w:hAnsi="Arial" w:cs="Arial"/>
          <w:color w:val="000000"/>
          <w:sz w:val="20"/>
          <w:szCs w:val="20"/>
        </w:rPr>
        <w:t xml:space="preserve"> – teoretični pouk</w:t>
      </w:r>
    </w:p>
    <w:p w14:paraId="45C08CE2" w14:textId="77777777" w:rsidR="000B36D1" w:rsidRDefault="000B36D1" w:rsidP="000B36D1">
      <w:pPr>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5"/>
        <w:gridCol w:w="5387"/>
        <w:gridCol w:w="1558"/>
      </w:tblGrid>
      <w:tr w:rsidR="000B36D1" w:rsidRPr="002F32CC" w14:paraId="26B8C460" w14:textId="77777777" w:rsidTr="00CA53D9">
        <w:trPr>
          <w:trHeight w:hRule="exact" w:val="680"/>
          <w:tblHeader/>
          <w:jc w:val="center"/>
        </w:trPr>
        <w:tc>
          <w:tcPr>
            <w:tcW w:w="2555" w:type="dxa"/>
            <w:shd w:val="clear" w:color="auto" w:fill="E0E0E0"/>
            <w:vAlign w:val="center"/>
          </w:tcPr>
          <w:p w14:paraId="7AB9B83B" w14:textId="77777777" w:rsidR="000B36D1" w:rsidRPr="00C0715B" w:rsidRDefault="000B36D1" w:rsidP="00CA53D9">
            <w:pPr>
              <w:tabs>
                <w:tab w:val="left" w:pos="6840"/>
              </w:tabs>
              <w:jc w:val="center"/>
              <w:rPr>
                <w:b/>
                <w:smallCaps/>
              </w:rPr>
            </w:pPr>
            <w:r w:rsidRPr="00C0715B">
              <w:rPr>
                <w:b/>
                <w:smallCaps/>
              </w:rPr>
              <w:t>Učni sklop</w:t>
            </w:r>
          </w:p>
        </w:tc>
        <w:tc>
          <w:tcPr>
            <w:tcW w:w="5387" w:type="dxa"/>
            <w:shd w:val="clear" w:color="auto" w:fill="E0E0E0"/>
            <w:vAlign w:val="center"/>
          </w:tcPr>
          <w:p w14:paraId="41DDA0CD" w14:textId="77777777" w:rsidR="000B36D1" w:rsidRPr="00C0715B" w:rsidRDefault="000B36D1" w:rsidP="00CA53D9">
            <w:pPr>
              <w:tabs>
                <w:tab w:val="left" w:pos="6840"/>
              </w:tabs>
              <w:jc w:val="center"/>
              <w:rPr>
                <w:b/>
                <w:smallCaps/>
              </w:rPr>
            </w:pPr>
            <w:r w:rsidRPr="00C0715B">
              <w:rPr>
                <w:b/>
                <w:smallCaps/>
              </w:rPr>
              <w:t>Minimalni standard znanj</w:t>
            </w:r>
          </w:p>
        </w:tc>
        <w:tc>
          <w:tcPr>
            <w:tcW w:w="1558" w:type="dxa"/>
            <w:shd w:val="clear" w:color="auto" w:fill="E0E0E0"/>
            <w:vAlign w:val="center"/>
          </w:tcPr>
          <w:p w14:paraId="6E6EAB91" w14:textId="77777777" w:rsidR="000B36D1" w:rsidRPr="00C0715B" w:rsidRDefault="000B36D1" w:rsidP="00CA53D9">
            <w:pPr>
              <w:tabs>
                <w:tab w:val="left" w:pos="6840"/>
              </w:tabs>
              <w:jc w:val="center"/>
              <w:rPr>
                <w:b/>
                <w:smallCaps/>
              </w:rPr>
            </w:pPr>
            <w:r w:rsidRPr="00C0715B">
              <w:rPr>
                <w:b/>
                <w:smallCaps/>
              </w:rPr>
              <w:t>Način ocenjevanja</w:t>
            </w:r>
          </w:p>
        </w:tc>
      </w:tr>
      <w:tr w:rsidR="000B36D1" w:rsidRPr="002F32CC" w14:paraId="5C7B6CD7" w14:textId="77777777" w:rsidTr="00CA53D9">
        <w:trPr>
          <w:jc w:val="center"/>
        </w:trPr>
        <w:tc>
          <w:tcPr>
            <w:tcW w:w="2555" w:type="dxa"/>
            <w:vAlign w:val="center"/>
          </w:tcPr>
          <w:p w14:paraId="19526388" w14:textId="77777777" w:rsidR="000B36D1" w:rsidRPr="00E76DAC" w:rsidRDefault="000B36D1" w:rsidP="00CA53D9">
            <w:pPr>
              <w:tabs>
                <w:tab w:val="left" w:pos="6840"/>
              </w:tabs>
            </w:pPr>
            <w:r w:rsidRPr="00E76DAC">
              <w:rPr>
                <w:rFonts w:eastAsia="Calibri"/>
              </w:rPr>
              <w:t>Energija - vrste, viri</w:t>
            </w:r>
          </w:p>
        </w:tc>
        <w:tc>
          <w:tcPr>
            <w:tcW w:w="5387" w:type="dxa"/>
            <w:vAlign w:val="center"/>
          </w:tcPr>
          <w:p w14:paraId="08C104EB" w14:textId="77777777" w:rsidR="000B36D1" w:rsidRPr="00E76DAC" w:rsidRDefault="000B36D1">
            <w:pPr>
              <w:pStyle w:val="Odstavekseznama"/>
              <w:numPr>
                <w:ilvl w:val="3"/>
                <w:numId w:val="20"/>
              </w:numPr>
              <w:tabs>
                <w:tab w:val="left" w:pos="6840"/>
              </w:tabs>
              <w:spacing w:line="259" w:lineRule="auto"/>
              <w:ind w:left="175" w:hanging="141"/>
            </w:pPr>
            <w:r w:rsidRPr="00E76DAC">
              <w:rPr>
                <w:rFonts w:eastAsia="Calibri"/>
              </w:rPr>
              <w:t xml:space="preserve">poznati različne vrste energij, </w:t>
            </w:r>
          </w:p>
          <w:p w14:paraId="6FE65ACC" w14:textId="77777777" w:rsidR="000B36D1" w:rsidRPr="00E76DAC" w:rsidRDefault="000B36D1">
            <w:pPr>
              <w:pStyle w:val="Odstavekseznama"/>
              <w:numPr>
                <w:ilvl w:val="3"/>
                <w:numId w:val="20"/>
              </w:numPr>
              <w:tabs>
                <w:tab w:val="left" w:pos="6840"/>
              </w:tabs>
              <w:spacing w:line="259" w:lineRule="auto"/>
              <w:ind w:left="175" w:hanging="141"/>
            </w:pPr>
            <w:r w:rsidRPr="00E76DAC">
              <w:t>p</w:t>
            </w:r>
            <w:r w:rsidRPr="00E76DAC">
              <w:rPr>
                <w:rFonts w:eastAsia="Calibri"/>
              </w:rPr>
              <w:t xml:space="preserve">oznati načine in primere porabe električne energije, </w:t>
            </w:r>
          </w:p>
          <w:p w14:paraId="7336437C" w14:textId="77777777" w:rsidR="000B36D1" w:rsidRPr="00E377EF" w:rsidRDefault="000B36D1">
            <w:pPr>
              <w:pStyle w:val="Odstavekseznama"/>
              <w:numPr>
                <w:ilvl w:val="3"/>
                <w:numId w:val="20"/>
              </w:numPr>
              <w:tabs>
                <w:tab w:val="left" w:pos="6840"/>
              </w:tabs>
              <w:spacing w:line="259" w:lineRule="auto"/>
              <w:ind w:left="175" w:hanging="141"/>
            </w:pPr>
            <w:r w:rsidRPr="00E76DAC">
              <w:rPr>
                <w:rFonts w:eastAsia="Calibri"/>
              </w:rPr>
              <w:t xml:space="preserve">poznati osnovne načine pridobivanja električne energije </w:t>
            </w:r>
          </w:p>
        </w:tc>
        <w:tc>
          <w:tcPr>
            <w:tcW w:w="1558" w:type="dxa"/>
            <w:vMerge w:val="restart"/>
            <w:vAlign w:val="center"/>
          </w:tcPr>
          <w:p w14:paraId="03C7E429" w14:textId="77777777" w:rsidR="000B36D1" w:rsidRDefault="000B36D1" w:rsidP="00CA53D9">
            <w:pPr>
              <w:tabs>
                <w:tab w:val="left" w:pos="6840"/>
              </w:tabs>
            </w:pPr>
            <w:r>
              <w:t>pisno,</w:t>
            </w:r>
            <w:r w:rsidRPr="00E76DAC">
              <w:t xml:space="preserve"> </w:t>
            </w:r>
          </w:p>
          <w:p w14:paraId="2688B2F7" w14:textId="7E6F556D" w:rsidR="000B36D1" w:rsidRPr="00E76DAC" w:rsidRDefault="000B36D1" w:rsidP="00CA53D9">
            <w:pPr>
              <w:tabs>
                <w:tab w:val="left" w:pos="6840"/>
              </w:tabs>
            </w:pPr>
            <w:r w:rsidRPr="00E76DAC">
              <w:t>ustno</w:t>
            </w:r>
          </w:p>
          <w:p w14:paraId="65467ECD" w14:textId="77777777" w:rsidR="000B36D1" w:rsidRPr="00E76DAC" w:rsidRDefault="000B36D1" w:rsidP="00CA53D9">
            <w:pPr>
              <w:tabs>
                <w:tab w:val="left" w:pos="6840"/>
              </w:tabs>
            </w:pPr>
          </w:p>
        </w:tc>
      </w:tr>
      <w:tr w:rsidR="000B36D1" w:rsidRPr="002F32CC" w14:paraId="5C4553D0" w14:textId="77777777" w:rsidTr="00CA53D9">
        <w:trPr>
          <w:jc w:val="center"/>
        </w:trPr>
        <w:tc>
          <w:tcPr>
            <w:tcW w:w="2555" w:type="dxa"/>
            <w:vAlign w:val="center"/>
          </w:tcPr>
          <w:p w14:paraId="060B634E" w14:textId="77777777" w:rsidR="000B36D1" w:rsidRPr="00E76DAC" w:rsidRDefault="000B36D1" w:rsidP="00CA53D9">
            <w:pPr>
              <w:tabs>
                <w:tab w:val="left" w:pos="6840"/>
              </w:tabs>
              <w:rPr>
                <w:rFonts w:eastAsia="Calibri"/>
              </w:rPr>
            </w:pPr>
            <w:r w:rsidRPr="00E76DAC">
              <w:rPr>
                <w:rFonts w:eastAsia="Calibri"/>
              </w:rPr>
              <w:t>Organizacija elektroenergetskega sistema (EES) Slovenije</w:t>
            </w:r>
          </w:p>
          <w:p w14:paraId="7DED49B9" w14:textId="77777777" w:rsidR="000B36D1" w:rsidRPr="00E76DAC" w:rsidRDefault="000B36D1" w:rsidP="00CA53D9">
            <w:pPr>
              <w:tabs>
                <w:tab w:val="left" w:pos="6840"/>
              </w:tabs>
              <w:rPr>
                <w:rFonts w:eastAsia="Calibri"/>
              </w:rPr>
            </w:pPr>
            <w:r w:rsidRPr="00E76DAC">
              <w:rPr>
                <w:rFonts w:eastAsia="Calibri"/>
              </w:rPr>
              <w:t>Tehnična in organizacijska povezava EES Slovenije s sosednjimi državami</w:t>
            </w:r>
          </w:p>
          <w:p w14:paraId="13324CB9" w14:textId="77777777" w:rsidR="000B36D1" w:rsidRPr="002F32CC" w:rsidRDefault="000B36D1" w:rsidP="00CA53D9">
            <w:pPr>
              <w:tabs>
                <w:tab w:val="left" w:pos="6840"/>
              </w:tabs>
            </w:pPr>
            <w:r w:rsidRPr="00E76DAC">
              <w:rPr>
                <w:rFonts w:eastAsia="Calibri"/>
              </w:rPr>
              <w:t>Zakonodaja na področju elektroenergetske oskrbe</w:t>
            </w:r>
          </w:p>
        </w:tc>
        <w:tc>
          <w:tcPr>
            <w:tcW w:w="5387" w:type="dxa"/>
            <w:vAlign w:val="center"/>
          </w:tcPr>
          <w:p w14:paraId="0BB61B45" w14:textId="77777777" w:rsidR="000B36D1" w:rsidRPr="00C0715B" w:rsidRDefault="000B36D1">
            <w:pPr>
              <w:pStyle w:val="Odstavekseznama"/>
              <w:numPr>
                <w:ilvl w:val="0"/>
                <w:numId w:val="21"/>
              </w:numPr>
              <w:tabs>
                <w:tab w:val="left" w:pos="6840"/>
              </w:tabs>
              <w:spacing w:after="160" w:line="259" w:lineRule="auto"/>
              <w:ind w:left="175" w:hanging="175"/>
            </w:pPr>
            <w:r w:rsidRPr="00C0715B">
              <w:rPr>
                <w:rFonts w:eastAsia="Calibri"/>
              </w:rPr>
              <w:t xml:space="preserve">poznati načine pridobivanja električne energije v Sloveniji in večje elektrarne, </w:t>
            </w:r>
          </w:p>
          <w:p w14:paraId="6440D32C" w14:textId="77777777" w:rsidR="000B36D1" w:rsidRPr="00C0715B" w:rsidRDefault="000B36D1">
            <w:pPr>
              <w:pStyle w:val="Odstavekseznama"/>
              <w:numPr>
                <w:ilvl w:val="0"/>
                <w:numId w:val="21"/>
              </w:numPr>
              <w:tabs>
                <w:tab w:val="left" w:pos="6840"/>
              </w:tabs>
              <w:spacing w:after="160" w:line="259" w:lineRule="auto"/>
              <w:ind w:left="175" w:hanging="142"/>
              <w:rPr>
                <w:rFonts w:eastAsia="Calibri"/>
              </w:rPr>
            </w:pPr>
            <w:r w:rsidRPr="00C0715B">
              <w:rPr>
                <w:rFonts w:eastAsia="Calibri"/>
              </w:rPr>
              <w:t xml:space="preserve">poznati grobo elektroenergetsko mrežo Slovenije in podjetja za trženje električne energije gospodinjstvom </w:t>
            </w:r>
          </w:p>
          <w:p w14:paraId="25F2262A" w14:textId="77777777" w:rsidR="000B36D1" w:rsidRPr="00C0715B" w:rsidRDefault="000B36D1">
            <w:pPr>
              <w:pStyle w:val="Odstavekseznama"/>
              <w:numPr>
                <w:ilvl w:val="0"/>
                <w:numId w:val="21"/>
              </w:numPr>
              <w:tabs>
                <w:tab w:val="left" w:pos="6840"/>
              </w:tabs>
              <w:spacing w:line="259" w:lineRule="auto"/>
              <w:ind w:left="175" w:hanging="142"/>
              <w:rPr>
                <w:rFonts w:eastAsia="Calibri"/>
              </w:rPr>
            </w:pPr>
            <w:r w:rsidRPr="00C0715B">
              <w:t>po</w:t>
            </w:r>
            <w:r w:rsidRPr="00C0715B">
              <w:rPr>
                <w:rFonts w:eastAsia="Calibri"/>
              </w:rPr>
              <w:t>znati našteti elektroenergetske povezave Slovenije s sosednjimi državami</w:t>
            </w:r>
          </w:p>
          <w:p w14:paraId="55AED14E" w14:textId="77777777" w:rsidR="000B36D1" w:rsidRPr="002F32CC" w:rsidRDefault="000B36D1">
            <w:pPr>
              <w:numPr>
                <w:ilvl w:val="0"/>
                <w:numId w:val="8"/>
              </w:numPr>
              <w:tabs>
                <w:tab w:val="clear" w:pos="360"/>
                <w:tab w:val="num" w:pos="318"/>
              </w:tabs>
              <w:ind w:left="175" w:hanging="142"/>
            </w:pPr>
            <w:r w:rsidRPr="00C0715B">
              <w:t>po</w:t>
            </w:r>
            <w:r w:rsidRPr="00C0715B">
              <w:rPr>
                <w:rFonts w:eastAsia="Calibri"/>
              </w:rPr>
              <w:t>znati poiskati predpise na področju elektroenergetike</w:t>
            </w:r>
          </w:p>
        </w:tc>
        <w:tc>
          <w:tcPr>
            <w:tcW w:w="1558" w:type="dxa"/>
            <w:vMerge/>
            <w:vAlign w:val="center"/>
          </w:tcPr>
          <w:p w14:paraId="2EA07215" w14:textId="77777777" w:rsidR="000B36D1" w:rsidRPr="00E76DAC" w:rsidRDefault="000B36D1" w:rsidP="00CA53D9">
            <w:pPr>
              <w:tabs>
                <w:tab w:val="left" w:pos="6840"/>
              </w:tabs>
            </w:pPr>
          </w:p>
        </w:tc>
      </w:tr>
      <w:tr w:rsidR="000B36D1" w:rsidRPr="002F32CC" w14:paraId="0E7BA57A" w14:textId="77777777" w:rsidTr="00CA53D9">
        <w:trPr>
          <w:jc w:val="center"/>
        </w:trPr>
        <w:tc>
          <w:tcPr>
            <w:tcW w:w="2555" w:type="dxa"/>
            <w:vAlign w:val="center"/>
          </w:tcPr>
          <w:p w14:paraId="6AAD37A3" w14:textId="77777777" w:rsidR="000B36D1" w:rsidRPr="00C0715B" w:rsidRDefault="000B36D1" w:rsidP="00CA53D9">
            <w:pPr>
              <w:tabs>
                <w:tab w:val="left" w:pos="6840"/>
              </w:tabs>
              <w:rPr>
                <w:rFonts w:eastAsia="Calibri"/>
              </w:rPr>
            </w:pPr>
            <w:r w:rsidRPr="00C0715B">
              <w:rPr>
                <w:rFonts w:eastAsia="Calibri"/>
              </w:rPr>
              <w:t xml:space="preserve">Elektrarna – vrste, načini delovanja </w:t>
            </w:r>
          </w:p>
          <w:p w14:paraId="123C69B2" w14:textId="77777777" w:rsidR="000B36D1" w:rsidRPr="002F32CC" w:rsidRDefault="000B36D1" w:rsidP="00CA53D9">
            <w:pPr>
              <w:tabs>
                <w:tab w:val="left" w:pos="6840"/>
              </w:tabs>
            </w:pPr>
            <w:r w:rsidRPr="00C0715B">
              <w:rPr>
                <w:rFonts w:eastAsia="Calibri"/>
              </w:rPr>
              <w:t>Vloge elektrarn v EES</w:t>
            </w:r>
          </w:p>
        </w:tc>
        <w:tc>
          <w:tcPr>
            <w:tcW w:w="5387" w:type="dxa"/>
            <w:vAlign w:val="center"/>
          </w:tcPr>
          <w:p w14:paraId="32AF8058" w14:textId="77777777" w:rsidR="000B36D1" w:rsidRDefault="000B36D1">
            <w:pPr>
              <w:pStyle w:val="Odstavekseznama"/>
              <w:numPr>
                <w:ilvl w:val="0"/>
                <w:numId w:val="8"/>
              </w:numPr>
              <w:tabs>
                <w:tab w:val="clear" w:pos="360"/>
                <w:tab w:val="num" w:pos="175"/>
                <w:tab w:val="left" w:pos="6840"/>
              </w:tabs>
              <w:spacing w:after="160" w:line="259" w:lineRule="auto"/>
            </w:pPr>
            <w:r w:rsidRPr="00C0715B">
              <w:rPr>
                <w:rFonts w:eastAsia="Calibri"/>
              </w:rPr>
              <w:t xml:space="preserve">poznati osnovno funkcijo elektrarne, </w:t>
            </w:r>
          </w:p>
          <w:p w14:paraId="11DB9008" w14:textId="77777777" w:rsidR="000B36D1" w:rsidRPr="00C0715B" w:rsidRDefault="000B36D1">
            <w:pPr>
              <w:pStyle w:val="Odstavekseznama"/>
              <w:numPr>
                <w:ilvl w:val="0"/>
                <w:numId w:val="8"/>
              </w:numPr>
              <w:tabs>
                <w:tab w:val="clear" w:pos="360"/>
                <w:tab w:val="num" w:pos="175"/>
                <w:tab w:val="left" w:pos="6840"/>
              </w:tabs>
              <w:spacing w:line="259" w:lineRule="auto"/>
              <w:ind w:left="175" w:hanging="175"/>
              <w:rPr>
                <w:rFonts w:eastAsia="Calibri"/>
              </w:rPr>
            </w:pPr>
            <w:r w:rsidRPr="00C0715B">
              <w:rPr>
                <w:rFonts w:eastAsia="Calibri"/>
              </w:rPr>
              <w:t xml:space="preserve">znati našteti osnovne vrste elektrarn in znati razložiti grobe karakteristične podatke o elektrarnah </w:t>
            </w:r>
          </w:p>
          <w:p w14:paraId="2F313123" w14:textId="77777777" w:rsidR="000B36D1" w:rsidRPr="00C0715B" w:rsidRDefault="000B36D1">
            <w:pPr>
              <w:numPr>
                <w:ilvl w:val="0"/>
                <w:numId w:val="9"/>
              </w:numPr>
              <w:tabs>
                <w:tab w:val="clear" w:pos="397"/>
                <w:tab w:val="num" w:pos="0"/>
              </w:tabs>
              <w:ind w:left="175" w:hanging="175"/>
            </w:pPr>
            <w:r w:rsidRPr="00C0715B">
              <w:rPr>
                <w:rFonts w:eastAsia="Calibri"/>
              </w:rPr>
              <w:t>glede na energetske vire razlikovati med funkcijami elektrarn v elektroenergetskem sistemu</w:t>
            </w:r>
          </w:p>
        </w:tc>
        <w:tc>
          <w:tcPr>
            <w:tcW w:w="1558" w:type="dxa"/>
            <w:vMerge/>
            <w:vAlign w:val="center"/>
          </w:tcPr>
          <w:p w14:paraId="0D36E854" w14:textId="77777777" w:rsidR="000B36D1" w:rsidRPr="00C0715B" w:rsidRDefault="000B36D1" w:rsidP="00CA53D9">
            <w:pPr>
              <w:tabs>
                <w:tab w:val="left" w:pos="6840"/>
              </w:tabs>
            </w:pPr>
          </w:p>
        </w:tc>
      </w:tr>
      <w:tr w:rsidR="000B36D1" w:rsidRPr="002F32CC" w14:paraId="3E8BD25C" w14:textId="77777777" w:rsidTr="00CA53D9">
        <w:trPr>
          <w:trHeight w:val="72"/>
          <w:jc w:val="center"/>
        </w:trPr>
        <w:tc>
          <w:tcPr>
            <w:tcW w:w="2555" w:type="dxa"/>
            <w:vAlign w:val="center"/>
          </w:tcPr>
          <w:p w14:paraId="3887ED52" w14:textId="77777777" w:rsidR="000B36D1" w:rsidRPr="00E377EF" w:rsidRDefault="000B36D1" w:rsidP="00CA53D9">
            <w:pPr>
              <w:tabs>
                <w:tab w:val="left" w:pos="6840"/>
              </w:tabs>
            </w:pPr>
            <w:proofErr w:type="spellStart"/>
            <w:r w:rsidRPr="00E377EF">
              <w:rPr>
                <w:rFonts w:eastAsia="Calibri"/>
              </w:rPr>
              <w:t>Sinhronski</w:t>
            </w:r>
            <w:proofErr w:type="spellEnd"/>
            <w:r w:rsidRPr="00E377EF">
              <w:rPr>
                <w:rFonts w:eastAsia="Calibri"/>
              </w:rPr>
              <w:t xml:space="preserve"> generator</w:t>
            </w:r>
          </w:p>
        </w:tc>
        <w:tc>
          <w:tcPr>
            <w:tcW w:w="5387" w:type="dxa"/>
            <w:vAlign w:val="center"/>
          </w:tcPr>
          <w:p w14:paraId="51A83EE0" w14:textId="77777777" w:rsidR="000B36D1" w:rsidRPr="00E377EF" w:rsidRDefault="000B36D1">
            <w:pPr>
              <w:pStyle w:val="Odstavekseznama"/>
              <w:numPr>
                <w:ilvl w:val="0"/>
                <w:numId w:val="9"/>
              </w:numPr>
              <w:tabs>
                <w:tab w:val="clear" w:pos="397"/>
                <w:tab w:val="num" w:pos="0"/>
                <w:tab w:val="left" w:pos="6840"/>
              </w:tabs>
              <w:spacing w:line="259" w:lineRule="auto"/>
              <w:ind w:left="175" w:hanging="175"/>
              <w:rPr>
                <w:rFonts w:eastAsia="Calibri"/>
              </w:rPr>
            </w:pPr>
            <w:r w:rsidRPr="00E377EF">
              <w:rPr>
                <w:rFonts w:eastAsia="Calibri"/>
              </w:rPr>
              <w:t xml:space="preserve">znati razložiti osnovni princip delovanja </w:t>
            </w:r>
            <w:proofErr w:type="spellStart"/>
            <w:r w:rsidRPr="00E377EF">
              <w:rPr>
                <w:rFonts w:eastAsia="Calibri"/>
              </w:rPr>
              <w:t>sinhronskega</w:t>
            </w:r>
            <w:proofErr w:type="spellEnd"/>
            <w:r w:rsidRPr="00E377EF">
              <w:rPr>
                <w:rFonts w:eastAsia="Calibri"/>
              </w:rPr>
              <w:t xml:space="preserve"> generatorja izmenične trifazne napetosti </w:t>
            </w:r>
          </w:p>
        </w:tc>
        <w:tc>
          <w:tcPr>
            <w:tcW w:w="1558" w:type="dxa"/>
            <w:vMerge w:val="restart"/>
            <w:vAlign w:val="center"/>
          </w:tcPr>
          <w:p w14:paraId="3E80FA48" w14:textId="77777777" w:rsidR="000B36D1" w:rsidRDefault="000B36D1" w:rsidP="00CA53D9">
            <w:pPr>
              <w:tabs>
                <w:tab w:val="left" w:pos="6840"/>
              </w:tabs>
            </w:pPr>
            <w:r>
              <w:t>pisno,</w:t>
            </w:r>
            <w:r w:rsidRPr="00E76DAC">
              <w:t xml:space="preserve"> </w:t>
            </w:r>
          </w:p>
          <w:p w14:paraId="750E6D00" w14:textId="7A07ED31" w:rsidR="000B36D1" w:rsidRPr="00E76DAC" w:rsidRDefault="000B36D1" w:rsidP="00CA53D9">
            <w:pPr>
              <w:tabs>
                <w:tab w:val="left" w:pos="6840"/>
              </w:tabs>
            </w:pPr>
            <w:r w:rsidRPr="00E76DAC">
              <w:t>ustno</w:t>
            </w:r>
            <w:r>
              <w:t>,</w:t>
            </w:r>
          </w:p>
          <w:p w14:paraId="457898D4" w14:textId="77777777" w:rsidR="000B36D1" w:rsidRPr="00E377EF" w:rsidRDefault="000B36D1" w:rsidP="00CA53D9">
            <w:pPr>
              <w:tabs>
                <w:tab w:val="left" w:pos="6840"/>
              </w:tabs>
            </w:pPr>
          </w:p>
        </w:tc>
      </w:tr>
      <w:tr w:rsidR="000B36D1" w:rsidRPr="002F32CC" w14:paraId="227D035E" w14:textId="77777777" w:rsidTr="00CA53D9">
        <w:trPr>
          <w:trHeight w:val="72"/>
          <w:jc w:val="center"/>
        </w:trPr>
        <w:tc>
          <w:tcPr>
            <w:tcW w:w="2555" w:type="dxa"/>
            <w:vAlign w:val="center"/>
          </w:tcPr>
          <w:p w14:paraId="1511E8FE" w14:textId="77777777" w:rsidR="000B36D1" w:rsidRPr="00E377EF" w:rsidRDefault="000B36D1" w:rsidP="00CA53D9">
            <w:pPr>
              <w:tabs>
                <w:tab w:val="left" w:pos="6840"/>
              </w:tabs>
            </w:pPr>
            <w:r w:rsidRPr="00E377EF">
              <w:rPr>
                <w:rFonts w:eastAsia="Calibri"/>
              </w:rPr>
              <w:t>Transformatorske postaje v EES</w:t>
            </w:r>
          </w:p>
        </w:tc>
        <w:tc>
          <w:tcPr>
            <w:tcW w:w="5387" w:type="dxa"/>
            <w:vAlign w:val="center"/>
          </w:tcPr>
          <w:p w14:paraId="6B241C62" w14:textId="77777777" w:rsidR="000B36D1" w:rsidRDefault="000B36D1">
            <w:pPr>
              <w:numPr>
                <w:ilvl w:val="0"/>
                <w:numId w:val="10"/>
              </w:numPr>
              <w:tabs>
                <w:tab w:val="clear" w:pos="360"/>
              </w:tabs>
              <w:ind w:left="206" w:hanging="206"/>
            </w:pPr>
            <w:r w:rsidRPr="00E377EF">
              <w:rPr>
                <w:rFonts w:eastAsia="Calibri"/>
              </w:rPr>
              <w:t xml:space="preserve">poznati osnovno funkcijo in princip delovanja energetskega transformatorja, </w:t>
            </w:r>
          </w:p>
          <w:p w14:paraId="6361B9B6" w14:textId="77777777" w:rsidR="000B36D1" w:rsidRPr="00E377EF" w:rsidRDefault="000B36D1">
            <w:pPr>
              <w:numPr>
                <w:ilvl w:val="0"/>
                <w:numId w:val="10"/>
              </w:numPr>
              <w:tabs>
                <w:tab w:val="clear" w:pos="360"/>
              </w:tabs>
              <w:ind w:left="206" w:hanging="206"/>
            </w:pPr>
            <w:r w:rsidRPr="00E377EF">
              <w:rPr>
                <w:rFonts w:eastAsia="Calibri"/>
              </w:rPr>
              <w:t>znati našteti osnovne elemente razdelilne transformatorske postaje</w:t>
            </w:r>
          </w:p>
        </w:tc>
        <w:tc>
          <w:tcPr>
            <w:tcW w:w="1558" w:type="dxa"/>
            <w:vMerge/>
            <w:vAlign w:val="center"/>
          </w:tcPr>
          <w:p w14:paraId="371E5A5A" w14:textId="77777777" w:rsidR="000B36D1" w:rsidRPr="002F32CC" w:rsidRDefault="000B36D1" w:rsidP="00CA53D9">
            <w:pPr>
              <w:tabs>
                <w:tab w:val="left" w:pos="6840"/>
              </w:tabs>
            </w:pPr>
          </w:p>
        </w:tc>
      </w:tr>
      <w:tr w:rsidR="000B36D1" w:rsidRPr="002F32CC" w14:paraId="2FEF6F4B" w14:textId="77777777" w:rsidTr="00CA53D9">
        <w:trPr>
          <w:trHeight w:val="72"/>
          <w:jc w:val="center"/>
        </w:trPr>
        <w:tc>
          <w:tcPr>
            <w:tcW w:w="2555" w:type="dxa"/>
            <w:vAlign w:val="center"/>
          </w:tcPr>
          <w:p w14:paraId="30F6EA5E" w14:textId="77777777" w:rsidR="000B36D1" w:rsidRPr="00E377EF" w:rsidRDefault="000B36D1" w:rsidP="00CA53D9">
            <w:pPr>
              <w:tabs>
                <w:tab w:val="left" w:pos="6840"/>
              </w:tabs>
            </w:pPr>
            <w:r w:rsidRPr="00E377EF">
              <w:rPr>
                <w:rFonts w:eastAsia="Calibri"/>
              </w:rPr>
              <w:t>Električna omrežja</w:t>
            </w:r>
          </w:p>
        </w:tc>
        <w:tc>
          <w:tcPr>
            <w:tcW w:w="5387" w:type="dxa"/>
            <w:vAlign w:val="center"/>
          </w:tcPr>
          <w:p w14:paraId="0B89DAFD" w14:textId="77777777" w:rsidR="000B36D1" w:rsidRDefault="000B36D1">
            <w:pPr>
              <w:numPr>
                <w:ilvl w:val="0"/>
                <w:numId w:val="10"/>
              </w:numPr>
              <w:tabs>
                <w:tab w:val="clear" w:pos="360"/>
              </w:tabs>
              <w:ind w:left="206" w:hanging="206"/>
            </w:pPr>
            <w:r w:rsidRPr="00E377EF">
              <w:rPr>
                <w:rFonts w:eastAsia="Calibri"/>
              </w:rPr>
              <w:t>znati razlikovati med ra</w:t>
            </w:r>
            <w:r>
              <w:t>zličnimi električnimi omrežji</w:t>
            </w:r>
          </w:p>
          <w:p w14:paraId="42A2D049" w14:textId="77777777" w:rsidR="000B36D1" w:rsidRPr="00E377EF" w:rsidRDefault="000B36D1">
            <w:pPr>
              <w:numPr>
                <w:ilvl w:val="0"/>
                <w:numId w:val="10"/>
              </w:numPr>
              <w:tabs>
                <w:tab w:val="clear" w:pos="360"/>
              </w:tabs>
              <w:ind w:left="206" w:hanging="206"/>
            </w:pPr>
            <w:r w:rsidRPr="00E377EF">
              <w:rPr>
                <w:rFonts w:eastAsia="Calibri"/>
              </w:rPr>
              <w:t xml:space="preserve"> poznati osnovne elemente omrežij</w:t>
            </w:r>
          </w:p>
        </w:tc>
        <w:tc>
          <w:tcPr>
            <w:tcW w:w="1558" w:type="dxa"/>
            <w:vMerge/>
            <w:vAlign w:val="center"/>
          </w:tcPr>
          <w:p w14:paraId="7B1D5915" w14:textId="77777777" w:rsidR="000B36D1" w:rsidRPr="002F32CC" w:rsidRDefault="000B36D1" w:rsidP="00CA53D9">
            <w:pPr>
              <w:tabs>
                <w:tab w:val="left" w:pos="6840"/>
              </w:tabs>
            </w:pPr>
          </w:p>
        </w:tc>
      </w:tr>
      <w:tr w:rsidR="000B36D1" w:rsidRPr="002F32CC" w14:paraId="2727AFFA" w14:textId="77777777" w:rsidTr="00CA53D9">
        <w:trPr>
          <w:trHeight w:val="72"/>
          <w:jc w:val="center"/>
        </w:trPr>
        <w:tc>
          <w:tcPr>
            <w:tcW w:w="2555" w:type="dxa"/>
            <w:vAlign w:val="center"/>
          </w:tcPr>
          <w:p w14:paraId="0F8D630C" w14:textId="77777777" w:rsidR="000B36D1" w:rsidRPr="00E377EF" w:rsidRDefault="000B36D1" w:rsidP="00CA53D9">
            <w:pPr>
              <w:tabs>
                <w:tab w:val="left" w:pos="6840"/>
              </w:tabs>
            </w:pPr>
            <w:r w:rsidRPr="00E377EF">
              <w:rPr>
                <w:rFonts w:eastAsia="Calibri"/>
              </w:rPr>
              <w:lastRenderedPageBreak/>
              <w:t>Daljnovod</w:t>
            </w:r>
          </w:p>
        </w:tc>
        <w:tc>
          <w:tcPr>
            <w:tcW w:w="5387" w:type="dxa"/>
            <w:vAlign w:val="center"/>
          </w:tcPr>
          <w:p w14:paraId="3E1D6BD2" w14:textId="77777777" w:rsidR="000B36D1" w:rsidRDefault="000B36D1">
            <w:pPr>
              <w:numPr>
                <w:ilvl w:val="0"/>
                <w:numId w:val="10"/>
              </w:numPr>
              <w:tabs>
                <w:tab w:val="clear" w:pos="360"/>
              </w:tabs>
              <w:ind w:left="206" w:hanging="206"/>
            </w:pPr>
            <w:r w:rsidRPr="00E377EF">
              <w:rPr>
                <w:rFonts w:eastAsia="Calibri"/>
              </w:rPr>
              <w:t xml:space="preserve">poznati temeljne razlike med </w:t>
            </w:r>
            <w:proofErr w:type="spellStart"/>
            <w:r w:rsidRPr="00E377EF">
              <w:rPr>
                <w:rFonts w:eastAsia="Calibri"/>
              </w:rPr>
              <w:t>prostozračnim</w:t>
            </w:r>
            <w:proofErr w:type="spellEnd"/>
            <w:r w:rsidRPr="00E377EF">
              <w:rPr>
                <w:rFonts w:eastAsia="Calibri"/>
              </w:rPr>
              <w:t xml:space="preserve"> in kabelskim omrežjem, </w:t>
            </w:r>
          </w:p>
          <w:p w14:paraId="09BE346E" w14:textId="77777777" w:rsidR="000B36D1" w:rsidRPr="00E377EF" w:rsidRDefault="000B36D1">
            <w:pPr>
              <w:numPr>
                <w:ilvl w:val="0"/>
                <w:numId w:val="10"/>
              </w:numPr>
              <w:tabs>
                <w:tab w:val="clear" w:pos="360"/>
              </w:tabs>
              <w:ind w:left="206" w:hanging="206"/>
            </w:pPr>
            <w:r w:rsidRPr="00E377EF">
              <w:rPr>
                <w:rFonts w:eastAsia="Calibri"/>
              </w:rPr>
              <w:t>poznati pomen in zahteve visokonapetostnega prenosa električne energije ter vpliv dimenzij električnih vodnikov na zmogljivosti prenosa</w:t>
            </w:r>
          </w:p>
        </w:tc>
        <w:tc>
          <w:tcPr>
            <w:tcW w:w="1558" w:type="dxa"/>
            <w:vMerge/>
            <w:vAlign w:val="center"/>
          </w:tcPr>
          <w:p w14:paraId="60EE0AF8" w14:textId="77777777" w:rsidR="000B36D1" w:rsidRPr="002F32CC" w:rsidRDefault="000B36D1" w:rsidP="00CA53D9">
            <w:pPr>
              <w:tabs>
                <w:tab w:val="left" w:pos="6840"/>
              </w:tabs>
            </w:pPr>
          </w:p>
        </w:tc>
      </w:tr>
      <w:tr w:rsidR="000B36D1" w:rsidRPr="002F32CC" w14:paraId="2106AB44" w14:textId="77777777" w:rsidTr="00CA53D9">
        <w:trPr>
          <w:trHeight w:val="72"/>
          <w:jc w:val="center"/>
        </w:trPr>
        <w:tc>
          <w:tcPr>
            <w:tcW w:w="2555" w:type="dxa"/>
            <w:vAlign w:val="center"/>
          </w:tcPr>
          <w:p w14:paraId="3896C22B" w14:textId="77777777" w:rsidR="000B36D1" w:rsidRPr="00E377EF" w:rsidRDefault="000B36D1" w:rsidP="00CA53D9">
            <w:pPr>
              <w:tabs>
                <w:tab w:val="left" w:pos="6840"/>
              </w:tabs>
            </w:pPr>
            <w:r w:rsidRPr="00E377EF">
              <w:rPr>
                <w:rFonts w:eastAsia="Calibri"/>
              </w:rPr>
              <w:t>Delovanje EES</w:t>
            </w:r>
          </w:p>
        </w:tc>
        <w:tc>
          <w:tcPr>
            <w:tcW w:w="5387" w:type="dxa"/>
            <w:vAlign w:val="center"/>
          </w:tcPr>
          <w:p w14:paraId="0AA3B5E1" w14:textId="77777777" w:rsidR="000B36D1" w:rsidRPr="00E377EF" w:rsidRDefault="000B36D1">
            <w:pPr>
              <w:numPr>
                <w:ilvl w:val="0"/>
                <w:numId w:val="10"/>
              </w:numPr>
              <w:tabs>
                <w:tab w:val="clear" w:pos="360"/>
              </w:tabs>
              <w:ind w:left="206" w:hanging="206"/>
            </w:pPr>
            <w:r w:rsidRPr="00E377EF">
              <w:rPr>
                <w:rFonts w:eastAsia="Calibri"/>
              </w:rPr>
              <w:t>znati razložiti vzroke za izgubo pri prenosu električne energije, znati poiskati podatke o proizvodnji in porabi električne energije v Sloveniji</w:t>
            </w:r>
          </w:p>
        </w:tc>
        <w:tc>
          <w:tcPr>
            <w:tcW w:w="1558" w:type="dxa"/>
            <w:vMerge/>
            <w:vAlign w:val="center"/>
          </w:tcPr>
          <w:p w14:paraId="45852C70" w14:textId="77777777" w:rsidR="000B36D1" w:rsidRPr="002F32CC" w:rsidRDefault="000B36D1" w:rsidP="00CA53D9">
            <w:pPr>
              <w:tabs>
                <w:tab w:val="left" w:pos="6840"/>
              </w:tabs>
            </w:pPr>
          </w:p>
        </w:tc>
      </w:tr>
    </w:tbl>
    <w:p w14:paraId="489E4494" w14:textId="77777777" w:rsidR="000B36D1" w:rsidRDefault="000B36D1" w:rsidP="000B36D1">
      <w:pPr>
        <w:rPr>
          <w:rFonts w:ascii="Arial" w:hAnsi="Arial" w:cs="Arial"/>
          <w:color w:val="000000"/>
          <w:sz w:val="20"/>
          <w:szCs w:val="20"/>
        </w:rPr>
      </w:pPr>
    </w:p>
    <w:p w14:paraId="7CD29C2B" w14:textId="77777777" w:rsidR="00502060" w:rsidRDefault="00502060" w:rsidP="000B36D1">
      <w:pPr>
        <w:rPr>
          <w:rFonts w:ascii="Arial" w:hAnsi="Arial" w:cs="Arial"/>
          <w:color w:val="000000"/>
          <w:sz w:val="20"/>
          <w:szCs w:val="20"/>
        </w:rPr>
      </w:pPr>
    </w:p>
    <w:p w14:paraId="7B79794D" w14:textId="6F3D58AB" w:rsidR="00502060" w:rsidRDefault="00502060">
      <w:pPr>
        <w:numPr>
          <w:ilvl w:val="0"/>
          <w:numId w:val="6"/>
        </w:numPr>
        <w:rPr>
          <w:rFonts w:ascii="Arial" w:hAnsi="Arial" w:cs="Arial"/>
          <w:color w:val="000000"/>
          <w:sz w:val="20"/>
          <w:szCs w:val="20"/>
        </w:rPr>
      </w:pPr>
      <w:r>
        <w:rPr>
          <w:rFonts w:ascii="Arial" w:hAnsi="Arial" w:cs="Arial"/>
          <w:color w:val="000000"/>
          <w:sz w:val="20"/>
          <w:szCs w:val="20"/>
        </w:rPr>
        <w:t>Minimalni standard znanja – praktični pouk</w:t>
      </w:r>
    </w:p>
    <w:p w14:paraId="1BBEA2D5" w14:textId="77777777" w:rsidR="00502060" w:rsidRDefault="00502060" w:rsidP="000B36D1">
      <w:pPr>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502060" w:rsidRPr="00F3697D" w14:paraId="7E57E026" w14:textId="77777777" w:rsidTr="003B04A6">
        <w:trPr>
          <w:trHeight w:hRule="exact" w:val="612"/>
          <w:tblHeader/>
          <w:jc w:val="center"/>
        </w:trPr>
        <w:tc>
          <w:tcPr>
            <w:tcW w:w="1696" w:type="dxa"/>
            <w:shd w:val="clear" w:color="auto" w:fill="E0E0E0"/>
            <w:vAlign w:val="center"/>
          </w:tcPr>
          <w:p w14:paraId="730090FC" w14:textId="77777777" w:rsidR="00502060" w:rsidRPr="00F3697D" w:rsidRDefault="00502060">
            <w:pPr>
              <w:numPr>
                <w:ilvl w:val="0"/>
                <w:numId w:val="7"/>
              </w:numPr>
            </w:pPr>
            <w:r w:rsidRPr="00F3697D">
              <w:t>Učni sklop</w:t>
            </w:r>
          </w:p>
        </w:tc>
        <w:tc>
          <w:tcPr>
            <w:tcW w:w="5954" w:type="dxa"/>
            <w:shd w:val="clear" w:color="auto" w:fill="E0E0E0"/>
            <w:vAlign w:val="center"/>
          </w:tcPr>
          <w:p w14:paraId="77C7141F" w14:textId="77777777" w:rsidR="00502060" w:rsidRPr="00F3697D" w:rsidRDefault="00502060">
            <w:pPr>
              <w:numPr>
                <w:ilvl w:val="0"/>
                <w:numId w:val="7"/>
              </w:numPr>
            </w:pPr>
            <w:r w:rsidRPr="00F3697D">
              <w:t>Minimalni standard znanj</w:t>
            </w:r>
          </w:p>
        </w:tc>
        <w:tc>
          <w:tcPr>
            <w:tcW w:w="1692" w:type="dxa"/>
            <w:shd w:val="clear" w:color="auto" w:fill="E0E0E0"/>
            <w:vAlign w:val="center"/>
          </w:tcPr>
          <w:p w14:paraId="2B5BDDC7" w14:textId="77777777" w:rsidR="00502060" w:rsidRPr="00F3697D" w:rsidRDefault="00502060">
            <w:pPr>
              <w:numPr>
                <w:ilvl w:val="0"/>
                <w:numId w:val="7"/>
              </w:numPr>
            </w:pPr>
            <w:r w:rsidRPr="00F3697D">
              <w:t>Način ocenjevanja</w:t>
            </w:r>
          </w:p>
        </w:tc>
      </w:tr>
      <w:tr w:rsidR="00502060" w:rsidRPr="00F3697D" w14:paraId="56742A8A" w14:textId="77777777" w:rsidTr="003B04A6">
        <w:trPr>
          <w:trHeight w:val="1536"/>
          <w:jc w:val="center"/>
        </w:trPr>
        <w:tc>
          <w:tcPr>
            <w:tcW w:w="1696" w:type="dxa"/>
            <w:shd w:val="clear" w:color="auto" w:fill="auto"/>
            <w:vAlign w:val="center"/>
          </w:tcPr>
          <w:p w14:paraId="0C3F0F3D" w14:textId="77777777" w:rsidR="00502060" w:rsidRPr="00F3697D" w:rsidRDefault="00502060">
            <w:pPr>
              <w:numPr>
                <w:ilvl w:val="0"/>
                <w:numId w:val="7"/>
              </w:numPr>
            </w:pPr>
            <w:r w:rsidRPr="00A82BC6">
              <w:t>P</w:t>
            </w:r>
            <w:r>
              <w:t>roizvodnja električne energije</w:t>
            </w:r>
          </w:p>
        </w:tc>
        <w:tc>
          <w:tcPr>
            <w:tcW w:w="5954" w:type="dxa"/>
            <w:shd w:val="clear" w:color="auto" w:fill="auto"/>
            <w:vAlign w:val="center"/>
          </w:tcPr>
          <w:p w14:paraId="6A384D55" w14:textId="77777777" w:rsidR="00502060" w:rsidRDefault="00502060">
            <w:pPr>
              <w:numPr>
                <w:ilvl w:val="0"/>
                <w:numId w:val="7"/>
              </w:numPr>
            </w:pPr>
            <w:r>
              <w:t>Izdela enostavno vezje iz generatorja električne energije in porabnikov ter izvede meritve.</w:t>
            </w:r>
          </w:p>
          <w:p w14:paraId="0CFB9C3C" w14:textId="77777777" w:rsidR="00502060" w:rsidRDefault="00502060">
            <w:pPr>
              <w:numPr>
                <w:ilvl w:val="0"/>
                <w:numId w:val="7"/>
              </w:numPr>
            </w:pPr>
            <w:r>
              <w:t>Izdela enostavno vezje sončne elektrarne, priključitev porabnikov in meritve.</w:t>
            </w:r>
          </w:p>
          <w:p w14:paraId="2BA561EB" w14:textId="77777777" w:rsidR="00502060" w:rsidRDefault="00502060">
            <w:pPr>
              <w:numPr>
                <w:ilvl w:val="0"/>
                <w:numId w:val="7"/>
              </w:numPr>
            </w:pPr>
            <w:r>
              <w:t xml:space="preserve"> Izdela enostavno vezje vetrnega generatorja električne energije, priključitev porabnikov in meritve.</w:t>
            </w:r>
          </w:p>
          <w:p w14:paraId="02AA5016" w14:textId="77777777" w:rsidR="00502060" w:rsidRPr="0018016E" w:rsidRDefault="00502060">
            <w:pPr>
              <w:numPr>
                <w:ilvl w:val="0"/>
                <w:numId w:val="7"/>
              </w:numPr>
            </w:pPr>
            <w:r>
              <w:t>Z</w:t>
            </w:r>
            <w:r w:rsidRPr="00056614">
              <w:t>na izdelati merilno poročilo v zahtevani obliki in oceni merilne rezultate</w:t>
            </w:r>
            <w:r>
              <w:t>.</w:t>
            </w:r>
          </w:p>
        </w:tc>
        <w:tc>
          <w:tcPr>
            <w:tcW w:w="1692" w:type="dxa"/>
            <w:vMerge w:val="restart"/>
            <w:shd w:val="clear" w:color="auto" w:fill="auto"/>
            <w:vAlign w:val="center"/>
          </w:tcPr>
          <w:p w14:paraId="5ACF1C0E" w14:textId="37C34FBB" w:rsidR="00502060" w:rsidRPr="00703786" w:rsidRDefault="00703786" w:rsidP="003B04A6">
            <w:pPr>
              <w:ind w:left="170" w:hanging="170"/>
              <w:rPr>
                <w:sz w:val="20"/>
                <w:szCs w:val="20"/>
              </w:rPr>
            </w:pPr>
            <w:r w:rsidRPr="00703786">
              <w:rPr>
                <w:sz w:val="20"/>
                <w:szCs w:val="20"/>
              </w:rPr>
              <w:t>Izdelek/storitev z zagovorom</w:t>
            </w:r>
          </w:p>
        </w:tc>
      </w:tr>
      <w:tr w:rsidR="00502060" w:rsidRPr="00F3697D" w14:paraId="182B058B" w14:textId="77777777" w:rsidTr="003B04A6">
        <w:trPr>
          <w:jc w:val="center"/>
        </w:trPr>
        <w:tc>
          <w:tcPr>
            <w:tcW w:w="1696" w:type="dxa"/>
            <w:shd w:val="clear" w:color="auto" w:fill="auto"/>
            <w:vAlign w:val="center"/>
          </w:tcPr>
          <w:p w14:paraId="4190DEBA" w14:textId="77777777" w:rsidR="00502060" w:rsidRPr="00F3697D" w:rsidRDefault="00502060">
            <w:pPr>
              <w:numPr>
                <w:ilvl w:val="0"/>
                <w:numId w:val="7"/>
              </w:numPr>
            </w:pPr>
            <w:r>
              <w:t>Transformacija električne energije</w:t>
            </w:r>
          </w:p>
        </w:tc>
        <w:tc>
          <w:tcPr>
            <w:tcW w:w="5954" w:type="dxa"/>
            <w:shd w:val="clear" w:color="auto" w:fill="auto"/>
            <w:vAlign w:val="center"/>
          </w:tcPr>
          <w:p w14:paraId="6DBD634E" w14:textId="77777777" w:rsidR="00502060" w:rsidRDefault="00502060">
            <w:pPr>
              <w:numPr>
                <w:ilvl w:val="0"/>
                <w:numId w:val="7"/>
              </w:numPr>
            </w:pPr>
            <w:r>
              <w:t>Izdela enostavno vezje demonstracijskega prenosnega omrežja električne energije, priključitev porabnikov in meritve.</w:t>
            </w:r>
          </w:p>
          <w:p w14:paraId="15978A18" w14:textId="77777777" w:rsidR="00502060" w:rsidRDefault="00502060">
            <w:pPr>
              <w:numPr>
                <w:ilvl w:val="0"/>
                <w:numId w:val="7"/>
              </w:numPr>
            </w:pPr>
            <w:r>
              <w:t>Izvede meritev tokov in napetosti v enostavnem demonstracijskem prenosnem omrežju.</w:t>
            </w:r>
          </w:p>
          <w:p w14:paraId="71997DC7" w14:textId="77777777" w:rsidR="00502060" w:rsidRPr="00056614" w:rsidRDefault="00502060">
            <w:pPr>
              <w:numPr>
                <w:ilvl w:val="0"/>
                <w:numId w:val="7"/>
              </w:numPr>
            </w:pPr>
            <w:r>
              <w:t>Z</w:t>
            </w:r>
            <w:r w:rsidRPr="00056614">
              <w:t>na izdelati merilno poročilo v zahtevani obliki in oceni merilne rezultate</w:t>
            </w:r>
            <w:r>
              <w:t>.</w:t>
            </w:r>
          </w:p>
        </w:tc>
        <w:tc>
          <w:tcPr>
            <w:tcW w:w="1692" w:type="dxa"/>
            <w:vMerge/>
            <w:shd w:val="clear" w:color="auto" w:fill="auto"/>
            <w:vAlign w:val="center"/>
          </w:tcPr>
          <w:p w14:paraId="287B2AF0" w14:textId="77777777" w:rsidR="00502060" w:rsidRPr="00F3697D" w:rsidRDefault="00502060" w:rsidP="003B04A6">
            <w:pPr>
              <w:ind w:left="170" w:hanging="170"/>
            </w:pPr>
          </w:p>
        </w:tc>
      </w:tr>
      <w:tr w:rsidR="00502060" w:rsidRPr="00F3697D" w14:paraId="7BD24FD1" w14:textId="77777777" w:rsidTr="003B04A6">
        <w:trPr>
          <w:jc w:val="center"/>
        </w:trPr>
        <w:tc>
          <w:tcPr>
            <w:tcW w:w="1696" w:type="dxa"/>
            <w:shd w:val="clear" w:color="auto" w:fill="auto"/>
            <w:vAlign w:val="center"/>
          </w:tcPr>
          <w:p w14:paraId="45805C7E" w14:textId="77777777" w:rsidR="00502060" w:rsidRPr="00F3697D" w:rsidRDefault="00502060">
            <w:pPr>
              <w:pStyle w:val="Odstavekseznama"/>
              <w:numPr>
                <w:ilvl w:val="0"/>
                <w:numId w:val="18"/>
              </w:numPr>
            </w:pPr>
            <w:r>
              <w:t>Prenos električne energije</w:t>
            </w:r>
          </w:p>
        </w:tc>
        <w:tc>
          <w:tcPr>
            <w:tcW w:w="5954" w:type="dxa"/>
            <w:shd w:val="clear" w:color="auto" w:fill="auto"/>
            <w:vAlign w:val="center"/>
          </w:tcPr>
          <w:p w14:paraId="6869340C" w14:textId="77777777" w:rsidR="00502060" w:rsidRDefault="00502060">
            <w:pPr>
              <w:numPr>
                <w:ilvl w:val="0"/>
                <w:numId w:val="7"/>
              </w:numPr>
            </w:pPr>
            <w:r>
              <w:t>Izdelava enostavnega demonstracijskega prenosnega omrežja električne energije, priključitev porabnikov in meritve.</w:t>
            </w:r>
          </w:p>
          <w:p w14:paraId="26FEAE3E" w14:textId="77777777" w:rsidR="00502060" w:rsidRPr="00675757" w:rsidRDefault="00502060">
            <w:pPr>
              <w:numPr>
                <w:ilvl w:val="0"/>
                <w:numId w:val="7"/>
              </w:numPr>
            </w:pPr>
            <w:r>
              <w:t>Izvede meritev tokov in napetosti v enostavnem demonstracijskem prenosnem omrežju.</w:t>
            </w:r>
          </w:p>
          <w:p w14:paraId="136F39FF" w14:textId="77777777" w:rsidR="00502060" w:rsidRPr="00DD3B67" w:rsidRDefault="00502060">
            <w:pPr>
              <w:numPr>
                <w:ilvl w:val="0"/>
                <w:numId w:val="7"/>
              </w:numPr>
              <w:rPr>
                <w:rFonts w:eastAsia="Arial Narrow"/>
              </w:rPr>
            </w:pPr>
            <w:r>
              <w:t>Izvede meritve energetskih izgub v enostavnem demonstracijskem prenosnem omrežju.</w:t>
            </w:r>
          </w:p>
          <w:p w14:paraId="2D10AB54" w14:textId="77777777" w:rsidR="00502060" w:rsidRPr="00A11E65" w:rsidRDefault="00502060">
            <w:pPr>
              <w:numPr>
                <w:ilvl w:val="0"/>
                <w:numId w:val="7"/>
              </w:numPr>
              <w:rPr>
                <w:rFonts w:eastAsia="Arial Narrow"/>
              </w:rPr>
            </w:pPr>
            <w:r>
              <w:t>Z</w:t>
            </w:r>
            <w:r w:rsidRPr="00056614">
              <w:t>na izdelati merilno poročilo v zahtevani obliki in oceni merilne rezultate</w:t>
            </w:r>
            <w:r>
              <w:t>.</w:t>
            </w:r>
          </w:p>
        </w:tc>
        <w:tc>
          <w:tcPr>
            <w:tcW w:w="1692" w:type="dxa"/>
            <w:vMerge/>
            <w:shd w:val="clear" w:color="auto" w:fill="auto"/>
            <w:vAlign w:val="center"/>
          </w:tcPr>
          <w:p w14:paraId="73897820" w14:textId="77777777" w:rsidR="00502060" w:rsidRPr="00F3697D" w:rsidRDefault="00502060" w:rsidP="003B04A6">
            <w:pPr>
              <w:ind w:left="170" w:hanging="170"/>
            </w:pPr>
          </w:p>
        </w:tc>
      </w:tr>
    </w:tbl>
    <w:p w14:paraId="37908DB5" w14:textId="77777777" w:rsidR="00502060" w:rsidRDefault="00502060" w:rsidP="000B36D1">
      <w:pPr>
        <w:rPr>
          <w:rFonts w:ascii="Arial" w:hAnsi="Arial" w:cs="Arial"/>
          <w:color w:val="000000"/>
          <w:sz w:val="20"/>
          <w:szCs w:val="20"/>
        </w:rPr>
      </w:pPr>
    </w:p>
    <w:p w14:paraId="08C58718" w14:textId="77777777" w:rsidR="00502060" w:rsidRDefault="00502060" w:rsidP="000B36D1">
      <w:pPr>
        <w:rPr>
          <w:rFonts w:ascii="Arial" w:hAnsi="Arial" w:cs="Arial"/>
          <w:color w:val="000000"/>
          <w:sz w:val="20"/>
          <w:szCs w:val="20"/>
        </w:rPr>
      </w:pPr>
    </w:p>
    <w:p w14:paraId="4A801C8E" w14:textId="77777777" w:rsidR="00502060" w:rsidRDefault="00502060" w:rsidP="000B36D1">
      <w:pPr>
        <w:rPr>
          <w:rFonts w:ascii="Arial" w:hAnsi="Arial" w:cs="Arial"/>
          <w:color w:val="000000"/>
          <w:sz w:val="20"/>
          <w:szCs w:val="20"/>
        </w:rPr>
      </w:pPr>
    </w:p>
    <w:p w14:paraId="7CF913CB" w14:textId="77777777" w:rsidR="00502060" w:rsidRDefault="00502060" w:rsidP="000B36D1">
      <w:pPr>
        <w:rPr>
          <w:rFonts w:ascii="Arial" w:hAnsi="Arial" w:cs="Arial"/>
          <w:color w:val="000000"/>
          <w:sz w:val="20"/>
          <w:szCs w:val="20"/>
        </w:rPr>
      </w:pPr>
    </w:p>
    <w:p w14:paraId="1CA39843" w14:textId="77777777" w:rsidR="00502060" w:rsidRDefault="00502060" w:rsidP="000B36D1">
      <w:pPr>
        <w:rPr>
          <w:rFonts w:ascii="Arial" w:hAnsi="Arial" w:cs="Arial"/>
          <w:color w:val="000000"/>
          <w:sz w:val="20"/>
          <w:szCs w:val="20"/>
        </w:rPr>
      </w:pPr>
    </w:p>
    <w:p w14:paraId="0317EBB3" w14:textId="77777777" w:rsidR="00502060" w:rsidRDefault="00502060" w:rsidP="000B36D1">
      <w:pPr>
        <w:rPr>
          <w:rFonts w:ascii="Arial" w:hAnsi="Arial" w:cs="Arial"/>
          <w:color w:val="000000"/>
          <w:sz w:val="20"/>
          <w:szCs w:val="20"/>
        </w:rPr>
      </w:pPr>
    </w:p>
    <w:p w14:paraId="400E29E7" w14:textId="77777777" w:rsidR="00502060" w:rsidRDefault="00502060" w:rsidP="000B36D1">
      <w:pPr>
        <w:rPr>
          <w:rFonts w:ascii="Arial" w:hAnsi="Arial" w:cs="Arial"/>
          <w:color w:val="000000"/>
          <w:sz w:val="20"/>
          <w:szCs w:val="20"/>
        </w:rPr>
      </w:pPr>
    </w:p>
    <w:p w14:paraId="3F31D1E6" w14:textId="77777777" w:rsidR="00502060" w:rsidRDefault="00502060" w:rsidP="000B36D1">
      <w:pPr>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730547"/>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988E26" w14:textId="77777777" w:rsidR="000B36D1" w:rsidRDefault="000B36D1" w:rsidP="002311D8">
      <w:pPr>
        <w:tabs>
          <w:tab w:val="right" w:leader="dot" w:pos="3420"/>
        </w:tabs>
        <w:jc w:val="both"/>
        <w:rPr>
          <w:rFonts w:ascii="Arial" w:hAnsi="Arial" w:cs="Arial"/>
          <w:b/>
          <w:bCs/>
          <w:color w:val="000000"/>
          <w:sz w:val="20"/>
          <w:szCs w:val="20"/>
        </w:rPr>
      </w:pPr>
    </w:p>
    <w:p w14:paraId="4258D432" w14:textId="60E92CED" w:rsidR="000B36D1" w:rsidRPr="000B36D1" w:rsidRDefault="000B36D1" w:rsidP="002311D8">
      <w:pPr>
        <w:tabs>
          <w:tab w:val="right" w:leader="dot" w:pos="3420"/>
        </w:tabs>
        <w:jc w:val="both"/>
        <w:rPr>
          <w:rFonts w:ascii="Arial" w:hAnsi="Arial" w:cs="Arial"/>
          <w:color w:val="000000"/>
          <w:sz w:val="20"/>
          <w:szCs w:val="20"/>
        </w:rPr>
      </w:pPr>
      <w:r w:rsidRPr="000B36D1">
        <w:rPr>
          <w:rFonts w:ascii="Arial" w:hAnsi="Arial" w:cs="Arial"/>
          <w:color w:val="000000"/>
          <w:sz w:val="20"/>
          <w:szCs w:val="20"/>
        </w:rPr>
        <w:t>Kriterij pri pisnem ocenjevanju znanja</w:t>
      </w:r>
    </w:p>
    <w:p w14:paraId="0D8A3489" w14:textId="77777777" w:rsidR="002C2188" w:rsidRDefault="002C2188" w:rsidP="002311D8">
      <w:pPr>
        <w:pStyle w:val="Brezrazmikov"/>
        <w:jc w:val="both"/>
        <w:rPr>
          <w:rFonts w:ascii="Arial" w:hAnsi="Arial" w:cs="Arial"/>
          <w:sz w:val="20"/>
          <w:szCs w:val="20"/>
        </w:rPr>
      </w:pPr>
    </w:p>
    <w:p w14:paraId="31CBE2B4" w14:textId="77777777" w:rsidR="000B36D1" w:rsidRPr="0015194C" w:rsidRDefault="000B36D1" w:rsidP="000B36D1">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&lt;40 %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75C4D94C" w14:textId="77777777" w:rsidR="000B36D1" w:rsidRPr="0015194C" w:rsidRDefault="000B36D1" w:rsidP="000B36D1">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40 %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55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1BD12482" w14:textId="77777777" w:rsidR="000B36D1" w:rsidRPr="0015194C" w:rsidRDefault="000B36D1" w:rsidP="000B36D1">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55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0</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41725848" w14:textId="77777777" w:rsidR="000B36D1" w:rsidRPr="0015194C" w:rsidRDefault="000B36D1" w:rsidP="000B36D1">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0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5AB19FD1" w14:textId="77777777" w:rsidR="000B36D1" w:rsidRDefault="000B36D1" w:rsidP="000B36D1">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6E452991" w14:textId="77777777" w:rsidR="000B36D1" w:rsidRDefault="000B36D1" w:rsidP="00C972A7">
      <w:pPr>
        <w:rPr>
          <w:rFonts w:ascii="Arial" w:hAnsi="Arial" w:cs="Arial"/>
          <w:b/>
          <w:bCs/>
          <w:color w:val="000000"/>
          <w:sz w:val="20"/>
          <w:szCs w:val="20"/>
        </w:rPr>
      </w:pPr>
    </w:p>
    <w:p w14:paraId="577E1538" w14:textId="77777777" w:rsidR="000B36D1" w:rsidRPr="000B36D1" w:rsidRDefault="000B36D1" w:rsidP="000B36D1">
      <w:pPr>
        <w:pStyle w:val="Brezrazmikov"/>
        <w:jc w:val="both"/>
        <w:rPr>
          <w:rFonts w:ascii="Arial" w:hAnsi="Arial" w:cs="Arial"/>
          <w:sz w:val="20"/>
          <w:szCs w:val="20"/>
        </w:rPr>
      </w:pPr>
      <w:r w:rsidRPr="000B36D1">
        <w:rPr>
          <w:rFonts w:ascii="Arial" w:hAnsi="Arial" w:cs="Arial"/>
          <w:sz w:val="20"/>
          <w:szCs w:val="20"/>
        </w:rPr>
        <w:t>Če dijak pri pisnem ocenjevanju znanja uporablja nedovoljene načine ali pripomočke, se mu pisna naloga odvzame in se ga oceni z nezadostno oceno.</w:t>
      </w:r>
    </w:p>
    <w:p w14:paraId="1B00F54A" w14:textId="77777777" w:rsidR="000B36D1" w:rsidRPr="000B36D1" w:rsidRDefault="000B36D1" w:rsidP="000B36D1">
      <w:pPr>
        <w:pStyle w:val="Brezrazmikov"/>
        <w:jc w:val="both"/>
        <w:rPr>
          <w:rFonts w:ascii="Arial" w:hAnsi="Arial" w:cs="Arial"/>
          <w:sz w:val="20"/>
          <w:szCs w:val="20"/>
        </w:rPr>
      </w:pPr>
      <w:r w:rsidRPr="000B36D1">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F1991F4" w14:textId="77777777" w:rsidR="000B36D1" w:rsidRDefault="000B36D1" w:rsidP="00C972A7">
      <w:pPr>
        <w:rPr>
          <w:rFonts w:ascii="Arial" w:hAnsi="Arial" w:cs="Arial"/>
          <w:b/>
          <w:bCs/>
          <w:color w:val="000000"/>
          <w:sz w:val="20"/>
          <w:szCs w:val="20"/>
        </w:rPr>
      </w:pPr>
    </w:p>
    <w:p w14:paraId="6CD49102" w14:textId="77777777" w:rsidR="000B36D1" w:rsidRDefault="000B36D1" w:rsidP="00C972A7">
      <w:pPr>
        <w:rPr>
          <w:rFonts w:ascii="Arial" w:hAnsi="Arial" w:cs="Arial"/>
          <w:b/>
          <w:bCs/>
          <w:color w:val="000000"/>
          <w:sz w:val="20"/>
          <w:szCs w:val="20"/>
        </w:rPr>
      </w:pPr>
    </w:p>
    <w:p w14:paraId="342B851B" w14:textId="53011D79"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pPr>
        <w:numPr>
          <w:ilvl w:val="0"/>
          <w:numId w:val="6"/>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8C3C56D" w14:textId="77777777" w:rsidTr="00410A70">
        <w:tc>
          <w:tcPr>
            <w:tcW w:w="9210" w:type="dxa"/>
          </w:tcPr>
          <w:p w14:paraId="63F352FE"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4FCB5F3D" w14:textId="77777777" w:rsidTr="00410A70">
        <w:tc>
          <w:tcPr>
            <w:tcW w:w="9210" w:type="dxa"/>
            <w:tcBorders>
              <w:bottom w:val="single" w:sz="12" w:space="0" w:color="auto"/>
            </w:tcBorders>
          </w:tcPr>
          <w:p w14:paraId="59799055" w14:textId="77777777" w:rsidR="00B9734C" w:rsidRPr="00587C4F" w:rsidRDefault="00B9734C">
            <w:pPr>
              <w:numPr>
                <w:ilvl w:val="0"/>
                <w:numId w:val="11"/>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7A2ED63" w14:textId="77777777" w:rsidR="00B9734C" w:rsidRPr="00587C4F" w:rsidRDefault="00B9734C">
            <w:pPr>
              <w:numPr>
                <w:ilvl w:val="0"/>
                <w:numId w:val="11"/>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079C702" w14:textId="77777777" w:rsidR="00B9734C" w:rsidRPr="00587C4F" w:rsidRDefault="00B9734C">
            <w:pPr>
              <w:numPr>
                <w:ilvl w:val="0"/>
                <w:numId w:val="11"/>
              </w:numPr>
              <w:jc w:val="both"/>
              <w:rPr>
                <w:rFonts w:ascii="Arial" w:hAnsi="Arial" w:cs="Arial"/>
                <w:sz w:val="20"/>
                <w:szCs w:val="20"/>
              </w:rPr>
            </w:pPr>
            <w:r w:rsidRPr="00587C4F">
              <w:rPr>
                <w:rFonts w:ascii="Arial" w:hAnsi="Arial" w:cs="Arial"/>
                <w:sz w:val="20"/>
                <w:szCs w:val="20"/>
              </w:rPr>
              <w:t>Uporablja preveč splošne izraze, brez razumevanja vsebine.</w:t>
            </w:r>
          </w:p>
          <w:p w14:paraId="4AD45B9C" w14:textId="77777777" w:rsidR="00B9734C" w:rsidRPr="00030E6A" w:rsidRDefault="00B9734C">
            <w:pPr>
              <w:numPr>
                <w:ilvl w:val="0"/>
                <w:numId w:val="11"/>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B9734C" w:rsidRPr="0015194C" w14:paraId="6537F005" w14:textId="77777777" w:rsidTr="00410A70">
        <w:tc>
          <w:tcPr>
            <w:tcW w:w="9210" w:type="dxa"/>
            <w:tcBorders>
              <w:top w:val="single" w:sz="12" w:space="0" w:color="auto"/>
              <w:bottom w:val="single" w:sz="4" w:space="0" w:color="auto"/>
            </w:tcBorders>
          </w:tcPr>
          <w:p w14:paraId="481192C2"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658E85DA" w14:textId="77777777" w:rsidTr="00410A70">
        <w:tc>
          <w:tcPr>
            <w:tcW w:w="9210" w:type="dxa"/>
            <w:tcBorders>
              <w:top w:val="single" w:sz="4" w:space="0" w:color="auto"/>
              <w:bottom w:val="single" w:sz="12" w:space="0" w:color="auto"/>
            </w:tcBorders>
          </w:tcPr>
          <w:p w14:paraId="2DFFDDF6" w14:textId="77777777" w:rsidR="00B9734C" w:rsidRPr="00587C4F" w:rsidRDefault="00B9734C">
            <w:pPr>
              <w:numPr>
                <w:ilvl w:val="0"/>
                <w:numId w:val="12"/>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BF300A8" w14:textId="77777777" w:rsidR="00B9734C" w:rsidRPr="00587C4F" w:rsidRDefault="00B9734C">
            <w:pPr>
              <w:numPr>
                <w:ilvl w:val="0"/>
                <w:numId w:val="12"/>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446D0226" w14:textId="77777777" w:rsidR="00B9734C" w:rsidRPr="00587C4F" w:rsidRDefault="00B9734C">
            <w:pPr>
              <w:numPr>
                <w:ilvl w:val="0"/>
                <w:numId w:val="12"/>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4F852D5" w14:textId="77777777" w:rsidR="00B9734C" w:rsidRPr="00030E6A" w:rsidRDefault="00B9734C">
            <w:pPr>
              <w:numPr>
                <w:ilvl w:val="0"/>
                <w:numId w:val="12"/>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B9734C" w:rsidRPr="0015194C" w14:paraId="6CE5A382" w14:textId="77777777" w:rsidTr="00410A70">
        <w:tc>
          <w:tcPr>
            <w:tcW w:w="9210" w:type="dxa"/>
            <w:tcBorders>
              <w:top w:val="single" w:sz="12" w:space="0" w:color="auto"/>
              <w:bottom w:val="single" w:sz="4" w:space="0" w:color="auto"/>
            </w:tcBorders>
          </w:tcPr>
          <w:p w14:paraId="27B1D92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1D7ED58F" w14:textId="77777777" w:rsidTr="00410A70">
        <w:tc>
          <w:tcPr>
            <w:tcW w:w="9210" w:type="dxa"/>
            <w:tcBorders>
              <w:top w:val="single" w:sz="4" w:space="0" w:color="auto"/>
              <w:bottom w:val="single" w:sz="12" w:space="0" w:color="auto"/>
            </w:tcBorders>
          </w:tcPr>
          <w:p w14:paraId="40BE9E59" w14:textId="77777777" w:rsidR="00B9734C" w:rsidRPr="00587C4F" w:rsidRDefault="00B9734C">
            <w:pPr>
              <w:numPr>
                <w:ilvl w:val="0"/>
                <w:numId w:val="13"/>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6BCD9A5D" w14:textId="77777777" w:rsidR="00B9734C" w:rsidRPr="00587C4F" w:rsidRDefault="00B9734C">
            <w:pPr>
              <w:numPr>
                <w:ilvl w:val="0"/>
                <w:numId w:val="13"/>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9A7E06A" w14:textId="77777777" w:rsidR="00B9734C" w:rsidRPr="00587C4F" w:rsidRDefault="00B9734C">
            <w:pPr>
              <w:numPr>
                <w:ilvl w:val="0"/>
                <w:numId w:val="13"/>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591B73" w14:textId="7CE5E338" w:rsidR="000B36D1" w:rsidRPr="00502060" w:rsidRDefault="00B9734C">
            <w:pPr>
              <w:numPr>
                <w:ilvl w:val="0"/>
                <w:numId w:val="13"/>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B9734C" w:rsidRPr="0015194C" w14:paraId="3FD78EE8" w14:textId="77777777" w:rsidTr="00410A70">
        <w:tc>
          <w:tcPr>
            <w:tcW w:w="9210" w:type="dxa"/>
            <w:tcBorders>
              <w:top w:val="single" w:sz="12" w:space="0" w:color="auto"/>
              <w:bottom w:val="single" w:sz="4" w:space="0" w:color="auto"/>
            </w:tcBorders>
          </w:tcPr>
          <w:p w14:paraId="25D38D11"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B96EAD3" w14:textId="77777777" w:rsidTr="00410A70">
        <w:tc>
          <w:tcPr>
            <w:tcW w:w="9210" w:type="dxa"/>
            <w:tcBorders>
              <w:top w:val="single" w:sz="4" w:space="0" w:color="auto"/>
              <w:bottom w:val="single" w:sz="12" w:space="0" w:color="auto"/>
            </w:tcBorders>
          </w:tcPr>
          <w:p w14:paraId="4B9229EE" w14:textId="77777777" w:rsidR="00B9734C" w:rsidRPr="00587C4F" w:rsidRDefault="00B9734C">
            <w:pPr>
              <w:numPr>
                <w:ilvl w:val="0"/>
                <w:numId w:val="14"/>
              </w:numPr>
              <w:jc w:val="both"/>
              <w:rPr>
                <w:rFonts w:ascii="Arial" w:hAnsi="Arial" w:cs="Arial"/>
                <w:sz w:val="20"/>
                <w:szCs w:val="20"/>
              </w:rPr>
            </w:pPr>
            <w:r w:rsidRPr="00587C4F">
              <w:rPr>
                <w:rFonts w:ascii="Arial" w:hAnsi="Arial" w:cs="Arial"/>
                <w:sz w:val="20"/>
                <w:szCs w:val="20"/>
              </w:rPr>
              <w:t>Dijak dobro pozna snov in jo razume v celoti.</w:t>
            </w:r>
          </w:p>
          <w:p w14:paraId="415F6C86" w14:textId="77777777" w:rsidR="00B9734C" w:rsidRPr="00587C4F" w:rsidRDefault="00B9734C">
            <w:pPr>
              <w:numPr>
                <w:ilvl w:val="0"/>
                <w:numId w:val="14"/>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4D31B16" w14:textId="77777777" w:rsidR="00B9734C" w:rsidRPr="00587C4F" w:rsidRDefault="00B9734C">
            <w:pPr>
              <w:numPr>
                <w:ilvl w:val="0"/>
                <w:numId w:val="14"/>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1C2DCA1" w14:textId="77777777" w:rsidR="00B9734C" w:rsidRPr="00587C4F" w:rsidRDefault="00B9734C">
            <w:pPr>
              <w:numPr>
                <w:ilvl w:val="0"/>
                <w:numId w:val="14"/>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B9734C" w:rsidRPr="0015194C" w14:paraId="3C883A44" w14:textId="77777777" w:rsidTr="00410A70">
        <w:tc>
          <w:tcPr>
            <w:tcW w:w="9210" w:type="dxa"/>
            <w:tcBorders>
              <w:top w:val="single" w:sz="12" w:space="0" w:color="auto"/>
              <w:bottom w:val="single" w:sz="4" w:space="0" w:color="auto"/>
            </w:tcBorders>
          </w:tcPr>
          <w:p w14:paraId="07BB6E6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odlično (5)</w:t>
            </w:r>
          </w:p>
        </w:tc>
      </w:tr>
      <w:tr w:rsidR="00B9734C" w:rsidRPr="0015194C" w14:paraId="641185AE" w14:textId="77777777" w:rsidTr="00410A70">
        <w:trPr>
          <w:trHeight w:val="861"/>
        </w:trPr>
        <w:tc>
          <w:tcPr>
            <w:tcW w:w="9210" w:type="dxa"/>
            <w:tcBorders>
              <w:top w:val="single" w:sz="4" w:space="0" w:color="auto"/>
            </w:tcBorders>
          </w:tcPr>
          <w:p w14:paraId="51302768" w14:textId="77777777" w:rsidR="00B9734C" w:rsidRPr="00AA256D" w:rsidRDefault="00B9734C">
            <w:pPr>
              <w:numPr>
                <w:ilvl w:val="0"/>
                <w:numId w:val="15"/>
              </w:numPr>
              <w:jc w:val="both"/>
              <w:rPr>
                <w:rFonts w:ascii="Arial" w:hAnsi="Arial" w:cs="Arial"/>
                <w:sz w:val="20"/>
                <w:szCs w:val="20"/>
              </w:rPr>
            </w:pPr>
            <w:r w:rsidRPr="00AA256D">
              <w:rPr>
                <w:rFonts w:ascii="Arial" w:hAnsi="Arial" w:cs="Arial"/>
                <w:sz w:val="20"/>
                <w:szCs w:val="20"/>
              </w:rPr>
              <w:t>Dijak izjemno dobro pozna snov in jo odlično razume.</w:t>
            </w:r>
          </w:p>
          <w:p w14:paraId="3F649F6B" w14:textId="77777777" w:rsidR="00B9734C" w:rsidRPr="00AA256D" w:rsidRDefault="00B9734C">
            <w:pPr>
              <w:numPr>
                <w:ilvl w:val="0"/>
                <w:numId w:val="15"/>
              </w:numPr>
              <w:jc w:val="both"/>
              <w:rPr>
                <w:rFonts w:ascii="Arial" w:hAnsi="Arial" w:cs="Arial"/>
                <w:sz w:val="20"/>
                <w:szCs w:val="20"/>
              </w:rPr>
            </w:pPr>
            <w:r w:rsidRPr="00AA256D">
              <w:rPr>
                <w:rFonts w:ascii="Arial" w:hAnsi="Arial" w:cs="Arial"/>
                <w:sz w:val="20"/>
                <w:szCs w:val="20"/>
              </w:rPr>
              <w:t>Odgovori so jasni, natančni in popolni.</w:t>
            </w:r>
          </w:p>
          <w:p w14:paraId="12448F29" w14:textId="77777777" w:rsidR="00B9734C" w:rsidRPr="00AA256D" w:rsidRDefault="00B9734C">
            <w:pPr>
              <w:numPr>
                <w:ilvl w:val="0"/>
                <w:numId w:val="15"/>
              </w:numPr>
              <w:jc w:val="both"/>
              <w:rPr>
                <w:rFonts w:ascii="Arial" w:hAnsi="Arial" w:cs="Arial"/>
                <w:sz w:val="20"/>
                <w:szCs w:val="20"/>
              </w:rPr>
            </w:pPr>
            <w:r w:rsidRPr="00AA256D">
              <w:rPr>
                <w:rFonts w:ascii="Arial" w:hAnsi="Arial" w:cs="Arial"/>
                <w:sz w:val="20"/>
                <w:szCs w:val="20"/>
              </w:rPr>
              <w:t>Uporablja ustrezne izraze in suvereno izraža svoje misli.</w:t>
            </w:r>
          </w:p>
          <w:p w14:paraId="6B34CFB7" w14:textId="77777777" w:rsidR="00B9734C" w:rsidRPr="00AA256D" w:rsidRDefault="00B9734C">
            <w:pPr>
              <w:numPr>
                <w:ilvl w:val="0"/>
                <w:numId w:val="15"/>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4E3A1ED9" w14:textId="77777777" w:rsidR="00B9734C" w:rsidRDefault="00B9734C" w:rsidP="00CE58F5">
      <w:pPr>
        <w:pStyle w:val="Brezrazmikov"/>
        <w:jc w:val="both"/>
        <w:rPr>
          <w:rFonts w:ascii="Arial" w:hAnsi="Arial" w:cs="Arial"/>
          <w:sz w:val="20"/>
          <w:szCs w:val="20"/>
        </w:rPr>
      </w:pPr>
    </w:p>
    <w:p w14:paraId="4581D3D9" w14:textId="77777777" w:rsidR="00502060" w:rsidRDefault="00502060" w:rsidP="00CE58F5">
      <w:pPr>
        <w:pStyle w:val="Brezrazmikov"/>
        <w:jc w:val="both"/>
        <w:rPr>
          <w:rFonts w:ascii="Arial" w:hAnsi="Arial" w:cs="Arial"/>
          <w:sz w:val="20"/>
          <w:szCs w:val="20"/>
        </w:rPr>
      </w:pPr>
    </w:p>
    <w:p w14:paraId="0DB61B65" w14:textId="77777777" w:rsidR="00502060" w:rsidRDefault="00502060" w:rsidP="00CE58F5">
      <w:pPr>
        <w:pStyle w:val="Brezrazmikov"/>
        <w:jc w:val="both"/>
        <w:rPr>
          <w:rFonts w:ascii="Arial" w:hAnsi="Arial" w:cs="Arial"/>
          <w:sz w:val="20"/>
          <w:szCs w:val="20"/>
        </w:rPr>
      </w:pPr>
    </w:p>
    <w:p w14:paraId="71A48B5E" w14:textId="77777777" w:rsidR="00502060" w:rsidRDefault="00502060"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B4B2C5E" w14:textId="77777777" w:rsidTr="00410A70">
        <w:tc>
          <w:tcPr>
            <w:tcW w:w="9210" w:type="dxa"/>
          </w:tcPr>
          <w:p w14:paraId="09B54CAD"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68A416C5" w14:textId="77777777" w:rsidTr="00410A70">
        <w:tc>
          <w:tcPr>
            <w:tcW w:w="9210" w:type="dxa"/>
            <w:tcBorders>
              <w:bottom w:val="single" w:sz="12" w:space="0" w:color="auto"/>
            </w:tcBorders>
          </w:tcPr>
          <w:p w14:paraId="5DF1C95E" w14:textId="77777777" w:rsidR="00B9734C" w:rsidRPr="004D36D4" w:rsidRDefault="00B9734C">
            <w:pPr>
              <w:numPr>
                <w:ilvl w:val="0"/>
                <w:numId w:val="1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FC71655" w14:textId="77777777" w:rsidR="00B9734C" w:rsidRPr="004D36D4" w:rsidRDefault="00B9734C">
            <w:pPr>
              <w:numPr>
                <w:ilvl w:val="0"/>
                <w:numId w:val="1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3B08608" w14:textId="77777777" w:rsidR="00B9734C" w:rsidRPr="004D36D4" w:rsidRDefault="00B9734C">
            <w:pPr>
              <w:numPr>
                <w:ilvl w:val="0"/>
                <w:numId w:val="1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612C1DE" w14:textId="49C2AB2A" w:rsidR="00393425" w:rsidRPr="000B36D1" w:rsidRDefault="00B9734C">
            <w:pPr>
              <w:numPr>
                <w:ilvl w:val="0"/>
                <w:numId w:val="1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B9734C" w:rsidRPr="0015194C" w14:paraId="7F2EDC97" w14:textId="77777777" w:rsidTr="00410A70">
        <w:tc>
          <w:tcPr>
            <w:tcW w:w="9210" w:type="dxa"/>
            <w:tcBorders>
              <w:top w:val="single" w:sz="12" w:space="0" w:color="auto"/>
              <w:bottom w:val="single" w:sz="4" w:space="0" w:color="auto"/>
            </w:tcBorders>
          </w:tcPr>
          <w:p w14:paraId="7A0A7B73"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3F30CCE9" w14:textId="77777777" w:rsidTr="00410A70">
        <w:tc>
          <w:tcPr>
            <w:tcW w:w="9210" w:type="dxa"/>
            <w:tcBorders>
              <w:top w:val="single" w:sz="4" w:space="0" w:color="auto"/>
              <w:bottom w:val="single" w:sz="12" w:space="0" w:color="auto"/>
            </w:tcBorders>
          </w:tcPr>
          <w:p w14:paraId="43D189C3" w14:textId="77777777" w:rsidR="00B9734C" w:rsidRPr="004D36D4" w:rsidRDefault="00B9734C">
            <w:pPr>
              <w:numPr>
                <w:ilvl w:val="0"/>
                <w:numId w:val="12"/>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9ECFE3" w14:textId="77777777" w:rsidR="00B9734C" w:rsidRPr="004D36D4" w:rsidRDefault="00B9734C">
            <w:pPr>
              <w:numPr>
                <w:ilvl w:val="0"/>
                <w:numId w:val="12"/>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5F9A0D55" w14:textId="77777777" w:rsidR="00B9734C" w:rsidRPr="004D36D4" w:rsidRDefault="00B9734C">
            <w:pPr>
              <w:numPr>
                <w:ilvl w:val="0"/>
                <w:numId w:val="12"/>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3FE55DD" w14:textId="77777777" w:rsidR="00B9734C" w:rsidRPr="00030E6A" w:rsidRDefault="00B9734C">
            <w:pPr>
              <w:numPr>
                <w:ilvl w:val="0"/>
                <w:numId w:val="12"/>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B9734C" w:rsidRPr="0015194C" w14:paraId="6B863AD2" w14:textId="77777777" w:rsidTr="00410A70">
        <w:tc>
          <w:tcPr>
            <w:tcW w:w="9210" w:type="dxa"/>
            <w:tcBorders>
              <w:top w:val="single" w:sz="12" w:space="0" w:color="auto"/>
              <w:bottom w:val="single" w:sz="4" w:space="0" w:color="auto"/>
            </w:tcBorders>
          </w:tcPr>
          <w:p w14:paraId="4E31E760"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044412C6" w14:textId="77777777" w:rsidTr="00410A70">
        <w:tc>
          <w:tcPr>
            <w:tcW w:w="9210" w:type="dxa"/>
            <w:tcBorders>
              <w:top w:val="single" w:sz="4" w:space="0" w:color="auto"/>
              <w:bottom w:val="single" w:sz="12" w:space="0" w:color="auto"/>
            </w:tcBorders>
          </w:tcPr>
          <w:p w14:paraId="178B682D" w14:textId="77777777" w:rsidR="00B9734C" w:rsidRPr="004D36D4" w:rsidRDefault="00B9734C">
            <w:pPr>
              <w:numPr>
                <w:ilvl w:val="0"/>
                <w:numId w:val="13"/>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5A2850C0" w14:textId="77777777" w:rsidR="00B9734C" w:rsidRPr="004D36D4" w:rsidRDefault="00B9734C">
            <w:pPr>
              <w:numPr>
                <w:ilvl w:val="0"/>
                <w:numId w:val="13"/>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7AEBDC0" w14:textId="77777777" w:rsidR="00B9734C" w:rsidRPr="004D36D4" w:rsidRDefault="00B9734C">
            <w:pPr>
              <w:numPr>
                <w:ilvl w:val="0"/>
                <w:numId w:val="13"/>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5B24D15" w14:textId="7DFD6267" w:rsidR="000B36D1" w:rsidRPr="00502060" w:rsidRDefault="00B9734C">
            <w:pPr>
              <w:numPr>
                <w:ilvl w:val="0"/>
                <w:numId w:val="13"/>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B9734C" w:rsidRPr="0015194C" w14:paraId="49B66AB7" w14:textId="77777777" w:rsidTr="00410A70">
        <w:tc>
          <w:tcPr>
            <w:tcW w:w="9210" w:type="dxa"/>
            <w:tcBorders>
              <w:top w:val="single" w:sz="12" w:space="0" w:color="auto"/>
              <w:bottom w:val="single" w:sz="4" w:space="0" w:color="auto"/>
            </w:tcBorders>
          </w:tcPr>
          <w:p w14:paraId="4290D7D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5C35676" w14:textId="77777777" w:rsidTr="00410A70">
        <w:tc>
          <w:tcPr>
            <w:tcW w:w="9210" w:type="dxa"/>
            <w:tcBorders>
              <w:top w:val="single" w:sz="4" w:space="0" w:color="auto"/>
              <w:bottom w:val="single" w:sz="12" w:space="0" w:color="auto"/>
            </w:tcBorders>
          </w:tcPr>
          <w:p w14:paraId="7628CD1D" w14:textId="77777777" w:rsidR="00B9734C" w:rsidRPr="004D36D4" w:rsidRDefault="00B9734C">
            <w:pPr>
              <w:numPr>
                <w:ilvl w:val="0"/>
                <w:numId w:val="1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651BB30" w14:textId="77777777" w:rsidR="00B9734C" w:rsidRPr="004D36D4" w:rsidRDefault="00B9734C">
            <w:pPr>
              <w:numPr>
                <w:ilvl w:val="0"/>
                <w:numId w:val="1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5886D868" w14:textId="77777777" w:rsidR="00B9734C" w:rsidRPr="004D36D4" w:rsidRDefault="00B9734C">
            <w:pPr>
              <w:numPr>
                <w:ilvl w:val="0"/>
                <w:numId w:val="1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46C09BC9" w14:textId="77777777" w:rsidR="00B9734C" w:rsidRDefault="00B9734C">
            <w:pPr>
              <w:numPr>
                <w:ilvl w:val="0"/>
                <w:numId w:val="1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3D31AC64" w14:textId="77777777" w:rsidR="00502060" w:rsidRDefault="00502060" w:rsidP="00502060">
            <w:pPr>
              <w:jc w:val="both"/>
              <w:rPr>
                <w:rFonts w:ascii="Arial" w:hAnsi="Arial" w:cs="Arial"/>
                <w:sz w:val="20"/>
                <w:szCs w:val="20"/>
              </w:rPr>
            </w:pPr>
          </w:p>
          <w:p w14:paraId="2085DD97" w14:textId="77777777" w:rsidR="00502060" w:rsidRDefault="00502060" w:rsidP="00502060">
            <w:pPr>
              <w:jc w:val="both"/>
              <w:rPr>
                <w:rFonts w:ascii="Arial" w:hAnsi="Arial" w:cs="Arial"/>
                <w:sz w:val="20"/>
                <w:szCs w:val="20"/>
              </w:rPr>
            </w:pPr>
          </w:p>
          <w:p w14:paraId="78ACF4E3" w14:textId="77777777" w:rsidR="00502060" w:rsidRDefault="00502060" w:rsidP="00502060">
            <w:pPr>
              <w:jc w:val="both"/>
              <w:rPr>
                <w:rFonts w:ascii="Arial" w:hAnsi="Arial" w:cs="Arial"/>
                <w:sz w:val="20"/>
                <w:szCs w:val="20"/>
              </w:rPr>
            </w:pPr>
          </w:p>
          <w:p w14:paraId="72E7ACAD" w14:textId="77777777" w:rsidR="00502060" w:rsidRDefault="00502060" w:rsidP="00502060">
            <w:pPr>
              <w:jc w:val="both"/>
              <w:rPr>
                <w:rFonts w:ascii="Arial" w:hAnsi="Arial" w:cs="Arial"/>
                <w:sz w:val="20"/>
                <w:szCs w:val="20"/>
              </w:rPr>
            </w:pPr>
          </w:p>
          <w:p w14:paraId="50BC7D83" w14:textId="77777777" w:rsidR="00502060" w:rsidRDefault="00502060" w:rsidP="00502060">
            <w:pPr>
              <w:jc w:val="both"/>
              <w:rPr>
                <w:rFonts w:ascii="Arial" w:hAnsi="Arial" w:cs="Arial"/>
                <w:sz w:val="20"/>
                <w:szCs w:val="20"/>
              </w:rPr>
            </w:pPr>
          </w:p>
          <w:p w14:paraId="3F114CFD" w14:textId="44B39237" w:rsidR="00502060" w:rsidRPr="00393425" w:rsidRDefault="00502060" w:rsidP="00502060">
            <w:pPr>
              <w:jc w:val="both"/>
              <w:rPr>
                <w:rFonts w:ascii="Arial" w:hAnsi="Arial" w:cs="Arial"/>
                <w:sz w:val="20"/>
                <w:szCs w:val="20"/>
              </w:rPr>
            </w:pPr>
          </w:p>
        </w:tc>
      </w:tr>
      <w:tr w:rsidR="00B9734C" w:rsidRPr="0015194C" w14:paraId="7010302E" w14:textId="77777777" w:rsidTr="00410A70">
        <w:tc>
          <w:tcPr>
            <w:tcW w:w="9210" w:type="dxa"/>
            <w:tcBorders>
              <w:top w:val="single" w:sz="12" w:space="0" w:color="auto"/>
              <w:bottom w:val="single" w:sz="4" w:space="0" w:color="auto"/>
            </w:tcBorders>
          </w:tcPr>
          <w:p w14:paraId="01D8AA76"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lastRenderedPageBreak/>
              <w:t>Ocena: odlično (5)</w:t>
            </w:r>
          </w:p>
        </w:tc>
      </w:tr>
      <w:tr w:rsidR="00B9734C" w:rsidRPr="0015194C" w14:paraId="29BC0425" w14:textId="77777777" w:rsidTr="00410A70">
        <w:trPr>
          <w:trHeight w:val="1516"/>
        </w:trPr>
        <w:tc>
          <w:tcPr>
            <w:tcW w:w="9210" w:type="dxa"/>
            <w:tcBorders>
              <w:top w:val="single" w:sz="4" w:space="0" w:color="auto"/>
            </w:tcBorders>
          </w:tcPr>
          <w:p w14:paraId="38154136" w14:textId="77777777" w:rsidR="00B9734C" w:rsidRPr="004D36D4" w:rsidRDefault="00B9734C">
            <w:pPr>
              <w:numPr>
                <w:ilvl w:val="0"/>
                <w:numId w:val="1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2737FC6" w14:textId="77777777" w:rsidR="00B9734C" w:rsidRPr="004D36D4" w:rsidRDefault="00B9734C">
            <w:pPr>
              <w:numPr>
                <w:ilvl w:val="0"/>
                <w:numId w:val="1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3F98986" w14:textId="77777777" w:rsidR="00B9734C" w:rsidRPr="004D36D4" w:rsidRDefault="00B9734C">
            <w:pPr>
              <w:numPr>
                <w:ilvl w:val="0"/>
                <w:numId w:val="1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71DB52B" w14:textId="77777777" w:rsidR="00B9734C" w:rsidRPr="00030E6A" w:rsidRDefault="00B9734C">
            <w:pPr>
              <w:numPr>
                <w:ilvl w:val="0"/>
                <w:numId w:val="1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4FB911DD" w14:textId="77777777" w:rsidR="00393425" w:rsidRDefault="00393425"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730548"/>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7F6B6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9734C">
        <w:rPr>
          <w:rFonts w:ascii="Arial" w:hAnsi="Arial" w:cs="Arial"/>
          <w:color w:val="000000"/>
          <w:sz w:val="20"/>
          <w:szCs w:val="20"/>
        </w:rPr>
        <w:t>4</w:t>
      </w:r>
      <w:r w:rsidR="000D04E6">
        <w:rPr>
          <w:rFonts w:ascii="Arial" w:hAnsi="Arial" w:cs="Arial"/>
          <w:color w:val="000000"/>
          <w:sz w:val="20"/>
          <w:szCs w:val="20"/>
        </w:rPr>
        <w:t xml:space="preserve">. </w:t>
      </w:r>
      <w:r w:rsidR="00B9734C">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A0A093E"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502060">
        <w:rPr>
          <w:rFonts w:ascii="Arial" w:hAnsi="Arial" w:cs="Arial"/>
          <w:color w:val="000000"/>
          <w:sz w:val="20"/>
          <w:szCs w:val="20"/>
        </w:rPr>
        <w:t>2EL3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r w:rsidR="007B6F2A">
        <w:rPr>
          <w:rFonts w:ascii="Arial" w:hAnsi="Arial" w:cs="Arial"/>
          <w:color w:val="000000"/>
          <w:sz w:val="20"/>
          <w:szCs w:val="20"/>
        </w:rPr>
        <w:t xml:space="preserve"> V prvem ocenjevalnem obdobju je rok praviloma v mesecu decembru, v drugem pa v drugi polovici maja.</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730549"/>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5EFF5E39" w14:textId="77777777" w:rsidR="00B62FE1" w:rsidRPr="008477D1" w:rsidRDefault="00B62FE1" w:rsidP="00B62FE1">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Teoretični pouk:</w:t>
      </w:r>
    </w:p>
    <w:p w14:paraId="05CE95CA" w14:textId="77777777" w:rsidR="00B62FE1" w:rsidRDefault="00B62FE1" w:rsidP="00B62FE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61551B21" w14:textId="77777777" w:rsidR="00B62FE1" w:rsidRDefault="00B62FE1" w:rsidP="00B62FE1">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18FEBC66" w14:textId="77777777" w:rsidR="00B62FE1" w:rsidRPr="008477D1" w:rsidRDefault="00B62FE1" w:rsidP="00B62FE1">
      <w:pPr>
        <w:rPr>
          <w:rFonts w:ascii="Arial" w:hAnsi="Arial" w:cs="Arial"/>
          <w:color w:val="000000"/>
          <w:sz w:val="20"/>
          <w:szCs w:val="20"/>
        </w:rPr>
      </w:pPr>
    </w:p>
    <w:p w14:paraId="7F8E4EBF" w14:textId="77777777" w:rsidR="00B62FE1" w:rsidRPr="008477D1" w:rsidRDefault="00B62FE1" w:rsidP="00B62FE1">
      <w:pPr>
        <w:pStyle w:val="Odstavekseznama"/>
        <w:numPr>
          <w:ilvl w:val="0"/>
          <w:numId w:val="17"/>
        </w:numPr>
        <w:jc w:val="both"/>
        <w:rPr>
          <w:rFonts w:ascii="Arial" w:hAnsi="Arial" w:cs="Arial"/>
          <w:color w:val="000000"/>
          <w:sz w:val="20"/>
          <w:szCs w:val="20"/>
        </w:rPr>
      </w:pPr>
      <w:r>
        <w:rPr>
          <w:rFonts w:ascii="Arial" w:hAnsi="Arial" w:cs="Arial"/>
          <w:color w:val="000000"/>
          <w:sz w:val="20"/>
          <w:szCs w:val="20"/>
        </w:rPr>
        <w:t>Praktični pouk:</w:t>
      </w:r>
    </w:p>
    <w:p w14:paraId="116FF059" w14:textId="77777777" w:rsidR="00B62FE1" w:rsidRDefault="00B62FE1" w:rsidP="00B62FE1">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730550"/>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5A0311F9" w14:textId="77777777" w:rsidR="000B36D1" w:rsidRDefault="000B36D1" w:rsidP="000B36D1">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42D56AA1" w14:textId="77777777" w:rsidR="000B36D1" w:rsidRPr="00E05B84" w:rsidRDefault="000B36D1" w:rsidP="000B36D1">
      <w:pPr>
        <w:jc w:val="both"/>
        <w:rPr>
          <w:rFonts w:ascii="Arial" w:hAnsi="Arial" w:cs="Arial"/>
          <w:color w:val="000000"/>
          <w:sz w:val="20"/>
          <w:szCs w:val="20"/>
        </w:rPr>
      </w:pPr>
    </w:p>
    <w:p w14:paraId="10686EEB" w14:textId="77777777" w:rsidR="000B36D1" w:rsidRPr="00E05B84" w:rsidRDefault="000B36D1" w:rsidP="000B36D1">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730551"/>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49F115A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0D79D6D" w14:textId="77777777" w:rsidR="000B3921" w:rsidRDefault="000B3921" w:rsidP="000B3921">
      <w:pPr>
        <w:jc w:val="both"/>
        <w:rPr>
          <w:rFonts w:ascii="Arial" w:hAnsi="Arial" w:cs="Arial"/>
          <w:color w:val="000000"/>
          <w:sz w:val="20"/>
          <w:szCs w:val="20"/>
        </w:rPr>
      </w:pPr>
    </w:p>
    <w:p w14:paraId="2ABF339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A401BAB" w14:textId="77777777" w:rsidR="00C03130" w:rsidRDefault="00C03130" w:rsidP="000B3921">
      <w:pPr>
        <w:jc w:val="both"/>
        <w:rPr>
          <w:rFonts w:ascii="Arial" w:hAnsi="Arial" w:cs="Arial"/>
          <w:color w:val="000000"/>
          <w:sz w:val="20"/>
          <w:szCs w:val="20"/>
        </w:rPr>
      </w:pPr>
    </w:p>
    <w:p w14:paraId="7DF0789B" w14:textId="6CE49D4F" w:rsidR="000B3921" w:rsidRDefault="000B3921" w:rsidP="000B392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r w:rsidR="007B6F2A">
        <w:rPr>
          <w:rFonts w:ascii="Arial" w:hAnsi="Arial" w:cs="Arial"/>
          <w:color w:val="000000"/>
          <w:sz w:val="20"/>
          <w:szCs w:val="20"/>
        </w:rPr>
        <w:t>.</w:t>
      </w:r>
    </w:p>
    <w:p w14:paraId="0D4FC327"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lastRenderedPageBreak/>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7FE77EC" w14:textId="77777777" w:rsidR="000B3921" w:rsidRDefault="000B3921" w:rsidP="000B3921">
      <w:pPr>
        <w:jc w:val="both"/>
        <w:rPr>
          <w:rFonts w:ascii="Arial" w:hAnsi="Arial" w:cs="Arial"/>
          <w:color w:val="000000"/>
          <w:sz w:val="20"/>
          <w:szCs w:val="20"/>
        </w:rPr>
      </w:pPr>
    </w:p>
    <w:p w14:paraId="084B80E3"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9C4A5F" w14:textId="77777777" w:rsidR="000B3921" w:rsidRDefault="000B3921" w:rsidP="000B3921">
      <w:pPr>
        <w:jc w:val="both"/>
        <w:rPr>
          <w:rFonts w:ascii="Arial" w:hAnsi="Arial" w:cs="Arial"/>
          <w:color w:val="000000"/>
          <w:sz w:val="20"/>
          <w:szCs w:val="20"/>
        </w:rPr>
      </w:pPr>
    </w:p>
    <w:p w14:paraId="2DDE0A69" w14:textId="77777777" w:rsidR="000B3921" w:rsidRPr="00D268EF" w:rsidRDefault="000B3921" w:rsidP="000B3921">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A422733" w14:textId="77777777" w:rsidR="000B3921" w:rsidRDefault="000B3921" w:rsidP="000B3921">
      <w:pPr>
        <w:jc w:val="both"/>
        <w:rPr>
          <w:rFonts w:ascii="Arial" w:hAnsi="Arial" w:cs="Arial"/>
          <w:color w:val="000000"/>
          <w:sz w:val="20"/>
          <w:szCs w:val="20"/>
        </w:rPr>
      </w:pPr>
    </w:p>
    <w:p w14:paraId="7607C4F3" w14:textId="77777777" w:rsidR="00393425" w:rsidRDefault="00393425" w:rsidP="00393425">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1C304A6C" w14:textId="77777777" w:rsidR="001E386E" w:rsidRDefault="001E386E"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730552"/>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ne želi ustno odgovarjati,</w:t>
      </w:r>
    </w:p>
    <w:p w14:paraId="18C3EE3C" w14:textId="7A04497A" w:rsidR="00A10E07" w:rsidRDefault="00E838FC">
      <w:pPr>
        <w:pStyle w:val="Odstavekseznama"/>
        <w:numPr>
          <w:ilvl w:val="0"/>
          <w:numId w:val="16"/>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2DBB03B7" w14:textId="77777777" w:rsidR="00393425" w:rsidRDefault="00393425" w:rsidP="00393425">
      <w:pPr>
        <w:jc w:val="both"/>
        <w:rPr>
          <w:rFonts w:ascii="Arial" w:hAnsi="Arial" w:cs="Arial"/>
          <w:color w:val="000000"/>
          <w:sz w:val="20"/>
          <w:szCs w:val="20"/>
        </w:rPr>
      </w:pPr>
    </w:p>
    <w:p w14:paraId="47A5D6A6" w14:textId="77777777" w:rsidR="00393425" w:rsidRPr="00393425" w:rsidRDefault="00393425" w:rsidP="00393425">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730553"/>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748BE208"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32009AB2" w14:textId="77777777" w:rsidR="00502060" w:rsidRDefault="00502060" w:rsidP="00502060">
      <w:pPr>
        <w:ind w:left="851"/>
        <w:jc w:val="both"/>
        <w:rPr>
          <w:rFonts w:ascii="Arial" w:hAnsi="Arial" w:cs="Arial"/>
          <w:color w:val="000000"/>
          <w:sz w:val="20"/>
          <w:szCs w:val="20"/>
        </w:rPr>
      </w:pPr>
    </w:p>
    <w:p w14:paraId="6DD31DD4" w14:textId="77777777" w:rsidR="00502060" w:rsidRPr="000B36D1" w:rsidRDefault="00502060" w:rsidP="00502060">
      <w:pPr>
        <w:ind w:left="851"/>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730554"/>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3A6DA89B" w14:textId="13326AF7" w:rsidR="00F90159" w:rsidRPr="00502060" w:rsidRDefault="00C972A7" w:rsidP="00502060">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sectPr w:rsidR="00F90159" w:rsidRPr="00502060"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76C4A" w14:textId="77777777" w:rsidR="00267970" w:rsidRDefault="00267970">
      <w:r>
        <w:separator/>
      </w:r>
    </w:p>
  </w:endnote>
  <w:endnote w:type="continuationSeparator" w:id="0">
    <w:p w14:paraId="5E7C7865" w14:textId="77777777" w:rsidR="00267970" w:rsidRDefault="00267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0DD80" w14:textId="77777777" w:rsidR="00267970" w:rsidRDefault="00267970">
      <w:r>
        <w:separator/>
      </w:r>
    </w:p>
  </w:footnote>
  <w:footnote w:type="continuationSeparator" w:id="0">
    <w:p w14:paraId="5FC9DB6A" w14:textId="77777777" w:rsidR="00267970" w:rsidRDefault="00267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4"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4CC7F2A"/>
    <w:multiLevelType w:val="hybridMultilevel"/>
    <w:tmpl w:val="3D2AC1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A5E6514"/>
    <w:multiLevelType w:val="hybridMultilevel"/>
    <w:tmpl w:val="BC162F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61855871">
    <w:abstractNumId w:val="3"/>
  </w:num>
  <w:num w:numId="2" w16cid:durableId="1129938261">
    <w:abstractNumId w:val="10"/>
  </w:num>
  <w:num w:numId="3" w16cid:durableId="540946005">
    <w:abstractNumId w:val="20"/>
  </w:num>
  <w:num w:numId="4" w16cid:durableId="1528983886">
    <w:abstractNumId w:val="13"/>
  </w:num>
  <w:num w:numId="5" w16cid:durableId="1057825402">
    <w:abstractNumId w:val="2"/>
  </w:num>
  <w:num w:numId="6" w16cid:durableId="78260109">
    <w:abstractNumId w:val="7"/>
  </w:num>
  <w:num w:numId="7" w16cid:durableId="1074666730">
    <w:abstractNumId w:val="6"/>
  </w:num>
  <w:num w:numId="8" w16cid:durableId="291518886">
    <w:abstractNumId w:val="14"/>
  </w:num>
  <w:num w:numId="9" w16cid:durableId="1316185237">
    <w:abstractNumId w:val="9"/>
  </w:num>
  <w:num w:numId="10" w16cid:durableId="1864202084">
    <w:abstractNumId w:val="16"/>
  </w:num>
  <w:num w:numId="11" w16cid:durableId="7175844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3758938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4923019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754837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7448000">
    <w:abstractNumId w:val="5"/>
  </w:num>
  <w:num w:numId="16" w16cid:durableId="433213877">
    <w:abstractNumId w:val="17"/>
  </w:num>
  <w:num w:numId="17" w16cid:durableId="235240484">
    <w:abstractNumId w:val="12"/>
  </w:num>
  <w:num w:numId="18" w16cid:durableId="1727952598">
    <w:abstractNumId w:val="0"/>
  </w:num>
  <w:num w:numId="19" w16cid:durableId="468740671">
    <w:abstractNumId w:val="1"/>
  </w:num>
  <w:num w:numId="20" w16cid:durableId="1753775122">
    <w:abstractNumId w:val="11"/>
  </w:num>
  <w:num w:numId="21" w16cid:durableId="131348423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6D1"/>
    <w:rsid w:val="000B3921"/>
    <w:rsid w:val="000D04E6"/>
    <w:rsid w:val="00112259"/>
    <w:rsid w:val="00120B63"/>
    <w:rsid w:val="001247B3"/>
    <w:rsid w:val="00131ADA"/>
    <w:rsid w:val="00140D5A"/>
    <w:rsid w:val="00165488"/>
    <w:rsid w:val="00190FFE"/>
    <w:rsid w:val="001A225A"/>
    <w:rsid w:val="001A2390"/>
    <w:rsid w:val="001E386E"/>
    <w:rsid w:val="0020433E"/>
    <w:rsid w:val="00205494"/>
    <w:rsid w:val="00226255"/>
    <w:rsid w:val="002311D8"/>
    <w:rsid w:val="00232C2A"/>
    <w:rsid w:val="002670DD"/>
    <w:rsid w:val="00267970"/>
    <w:rsid w:val="00296507"/>
    <w:rsid w:val="002C2188"/>
    <w:rsid w:val="002C2318"/>
    <w:rsid w:val="002C409B"/>
    <w:rsid w:val="002D573A"/>
    <w:rsid w:val="002E4F93"/>
    <w:rsid w:val="00302198"/>
    <w:rsid w:val="003134A5"/>
    <w:rsid w:val="00315702"/>
    <w:rsid w:val="0032029E"/>
    <w:rsid w:val="00321C74"/>
    <w:rsid w:val="00324A35"/>
    <w:rsid w:val="00343163"/>
    <w:rsid w:val="003547EA"/>
    <w:rsid w:val="0038022E"/>
    <w:rsid w:val="00381297"/>
    <w:rsid w:val="003851F7"/>
    <w:rsid w:val="00393425"/>
    <w:rsid w:val="003B0133"/>
    <w:rsid w:val="003B4AAE"/>
    <w:rsid w:val="003D5172"/>
    <w:rsid w:val="003E23A4"/>
    <w:rsid w:val="003F1A88"/>
    <w:rsid w:val="003F50BF"/>
    <w:rsid w:val="00415D1E"/>
    <w:rsid w:val="0042036A"/>
    <w:rsid w:val="004618FF"/>
    <w:rsid w:val="00464609"/>
    <w:rsid w:val="00475C40"/>
    <w:rsid w:val="004808E8"/>
    <w:rsid w:val="00481369"/>
    <w:rsid w:val="004839B6"/>
    <w:rsid w:val="004A151D"/>
    <w:rsid w:val="004A165D"/>
    <w:rsid w:val="004D5928"/>
    <w:rsid w:val="004F527A"/>
    <w:rsid w:val="004F6B48"/>
    <w:rsid w:val="00502060"/>
    <w:rsid w:val="00530B26"/>
    <w:rsid w:val="0054407F"/>
    <w:rsid w:val="00546B7A"/>
    <w:rsid w:val="0058114C"/>
    <w:rsid w:val="005A56A8"/>
    <w:rsid w:val="005C4AC7"/>
    <w:rsid w:val="005C5C27"/>
    <w:rsid w:val="005C7749"/>
    <w:rsid w:val="00601808"/>
    <w:rsid w:val="0061504A"/>
    <w:rsid w:val="00624969"/>
    <w:rsid w:val="006478F6"/>
    <w:rsid w:val="00676C60"/>
    <w:rsid w:val="0068002D"/>
    <w:rsid w:val="00697DE6"/>
    <w:rsid w:val="006A6644"/>
    <w:rsid w:val="00703786"/>
    <w:rsid w:val="00724A28"/>
    <w:rsid w:val="0074525A"/>
    <w:rsid w:val="00761B88"/>
    <w:rsid w:val="007A0B4E"/>
    <w:rsid w:val="007B38F5"/>
    <w:rsid w:val="007B53C1"/>
    <w:rsid w:val="007B6F2A"/>
    <w:rsid w:val="007C174E"/>
    <w:rsid w:val="007C349B"/>
    <w:rsid w:val="007C6C3E"/>
    <w:rsid w:val="007F4DD5"/>
    <w:rsid w:val="0085467B"/>
    <w:rsid w:val="00877CEB"/>
    <w:rsid w:val="00890266"/>
    <w:rsid w:val="00896C24"/>
    <w:rsid w:val="008B4DD9"/>
    <w:rsid w:val="008B5313"/>
    <w:rsid w:val="008E1BA2"/>
    <w:rsid w:val="008F68FC"/>
    <w:rsid w:val="008F6B81"/>
    <w:rsid w:val="009276AB"/>
    <w:rsid w:val="00954A3F"/>
    <w:rsid w:val="00980CAB"/>
    <w:rsid w:val="0099709D"/>
    <w:rsid w:val="009A33A0"/>
    <w:rsid w:val="009B5E13"/>
    <w:rsid w:val="009D124B"/>
    <w:rsid w:val="009F1F75"/>
    <w:rsid w:val="00A062AC"/>
    <w:rsid w:val="00A10E07"/>
    <w:rsid w:val="00A15AC5"/>
    <w:rsid w:val="00A1600D"/>
    <w:rsid w:val="00A25F67"/>
    <w:rsid w:val="00A47481"/>
    <w:rsid w:val="00A47CF2"/>
    <w:rsid w:val="00A80826"/>
    <w:rsid w:val="00A8206F"/>
    <w:rsid w:val="00A849B0"/>
    <w:rsid w:val="00A96CE2"/>
    <w:rsid w:val="00AB49D0"/>
    <w:rsid w:val="00AC30A5"/>
    <w:rsid w:val="00AE0430"/>
    <w:rsid w:val="00B0002A"/>
    <w:rsid w:val="00B103C4"/>
    <w:rsid w:val="00B408C3"/>
    <w:rsid w:val="00B62FE1"/>
    <w:rsid w:val="00B9734C"/>
    <w:rsid w:val="00BA31C5"/>
    <w:rsid w:val="00BD485B"/>
    <w:rsid w:val="00BE1322"/>
    <w:rsid w:val="00BE5312"/>
    <w:rsid w:val="00BF63FD"/>
    <w:rsid w:val="00C03130"/>
    <w:rsid w:val="00C652C2"/>
    <w:rsid w:val="00C717DD"/>
    <w:rsid w:val="00C74BF6"/>
    <w:rsid w:val="00C8227B"/>
    <w:rsid w:val="00C90ECA"/>
    <w:rsid w:val="00C972A7"/>
    <w:rsid w:val="00CD4418"/>
    <w:rsid w:val="00CE02CA"/>
    <w:rsid w:val="00CE0CEC"/>
    <w:rsid w:val="00CE58F5"/>
    <w:rsid w:val="00D02F6E"/>
    <w:rsid w:val="00D06E45"/>
    <w:rsid w:val="00D10F53"/>
    <w:rsid w:val="00D133B8"/>
    <w:rsid w:val="00D16E5C"/>
    <w:rsid w:val="00D268EF"/>
    <w:rsid w:val="00D54A50"/>
    <w:rsid w:val="00D63A46"/>
    <w:rsid w:val="00D64A04"/>
    <w:rsid w:val="00D64DB7"/>
    <w:rsid w:val="00D72844"/>
    <w:rsid w:val="00DB161E"/>
    <w:rsid w:val="00DE7DE7"/>
    <w:rsid w:val="00DF31A7"/>
    <w:rsid w:val="00DF574D"/>
    <w:rsid w:val="00E046C4"/>
    <w:rsid w:val="00E051E9"/>
    <w:rsid w:val="00E27942"/>
    <w:rsid w:val="00E301FF"/>
    <w:rsid w:val="00E31A11"/>
    <w:rsid w:val="00E3338E"/>
    <w:rsid w:val="00E61A63"/>
    <w:rsid w:val="00E75495"/>
    <w:rsid w:val="00E81714"/>
    <w:rsid w:val="00E82FD5"/>
    <w:rsid w:val="00E838FC"/>
    <w:rsid w:val="00E84F12"/>
    <w:rsid w:val="00EA1805"/>
    <w:rsid w:val="00EF3C80"/>
    <w:rsid w:val="00EF5A0B"/>
    <w:rsid w:val="00F121CD"/>
    <w:rsid w:val="00F24AA9"/>
    <w:rsid w:val="00F31ADC"/>
    <w:rsid w:val="00F3488D"/>
    <w:rsid w:val="00F53115"/>
    <w:rsid w:val="00F832AD"/>
    <w:rsid w:val="00F90159"/>
    <w:rsid w:val="00FA1499"/>
    <w:rsid w:val="00FA1607"/>
    <w:rsid w:val="00FA1E48"/>
    <w:rsid w:val="00FA4316"/>
    <w:rsid w:val="00FF72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393425"/>
    <w:pPr>
      <w:numPr>
        <w:numId w:val="19"/>
      </w:numPr>
    </w:pPr>
    <w:rPr>
      <w:rFonts w:eastAsiaTheme="minorEastAsia"/>
      <w:sz w:val="20"/>
      <w:szCs w:val="20"/>
      <w:lang w:eastAsia="en-US"/>
    </w:rPr>
  </w:style>
  <w:style w:type="character" w:customStyle="1" w:styleId="Okvir1Znak">
    <w:name w:val="Okvir_1 Znak"/>
    <w:basedOn w:val="Privzetapisavaodstavka"/>
    <w:link w:val="Okvir1"/>
    <w:rsid w:val="00393425"/>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9</Pages>
  <Words>2837</Words>
  <Characters>16175</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78</cp:revision>
  <dcterms:created xsi:type="dcterms:W3CDTF">2024-10-26T08:58:00Z</dcterms:created>
  <dcterms:modified xsi:type="dcterms:W3CDTF">2024-11-05T20:09:00Z</dcterms:modified>
</cp:coreProperties>
</file>